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commentsExtended.xml" ContentType="application/vnd.openxmlformats-officedocument.wordprocessingml.commentsExtended+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jc w:val="both"/>
        <w:textAlignment w:val="auto"/>
        <w:outlineLvl w:val="9"/>
        <w:rPr>
          <w:rFonts w:hint="eastAsia" w:ascii="仿宋" w:hAnsi="仿宋" w:eastAsia="仿宋" w:cs="仿宋"/>
          <w:b/>
          <w:bCs/>
          <w:sz w:val="44"/>
          <w:szCs w:val="4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jc w:val="center"/>
        <w:textAlignment w:val="auto"/>
        <w:outlineLvl w:val="9"/>
        <w:rPr>
          <w:rFonts w:hint="eastAsia" w:ascii="仿宋" w:hAnsi="仿宋" w:eastAsia="仿宋" w:cs="仿宋"/>
          <w:b/>
          <w:bCs/>
          <w:sz w:val="44"/>
          <w:szCs w:val="44"/>
          <w:lang w:val="en-US" w:eastAsia="zh-CN"/>
        </w:rPr>
      </w:pPr>
      <w:bookmarkStart w:id="0" w:name="_GoBack"/>
      <w:r>
        <w:rPr>
          <w:rFonts w:hint="eastAsia" w:ascii="方正小标宋简体" w:hAnsi="方正小标宋简体" w:eastAsia="方正小标宋简体" w:cs="方正小标宋简体"/>
          <w:b w:val="0"/>
          <w:bCs w:val="0"/>
          <w:sz w:val="44"/>
          <w:szCs w:val="44"/>
          <w:lang w:val="en-US" w:eastAsia="zh-CN"/>
        </w:rPr>
        <w:t>预算执行业务操作手册</w:t>
      </w:r>
      <w:bookmarkEnd w:id="0"/>
    </w:p>
    <w:p>
      <w:pPr>
        <w:pStyle w:val="2"/>
        <w:bidi w:val="0"/>
        <w:rPr>
          <w:rFonts w:hint="eastAsia" w:ascii="仿宋" w:hAnsi="仿宋" w:eastAsia="仿宋" w:cs="仿宋"/>
          <w:b/>
          <w:bCs w:val="0"/>
          <w:sz w:val="36"/>
          <w:szCs w:val="21"/>
          <w:lang w:val="en-US" w:eastAsia="zh-CN"/>
        </w:rPr>
      </w:pPr>
      <w:r>
        <w:rPr>
          <w:rFonts w:hint="eastAsia" w:ascii="仿宋" w:hAnsi="仿宋" w:eastAsia="仿宋" w:cs="仿宋"/>
          <w:b/>
          <w:bCs w:val="0"/>
          <w:sz w:val="36"/>
          <w:szCs w:val="21"/>
          <w:lang w:val="en-US" w:eastAsia="zh-CN"/>
        </w:rPr>
        <w:t>预算执行涉及的业务有以下几种场景：</w:t>
      </w:r>
    </w:p>
    <w:p>
      <w:pPr>
        <w:pStyle w:val="3"/>
        <w:bidi w:val="0"/>
        <w:rPr>
          <w:rFonts w:hint="eastAsia" w:ascii="仿宋" w:hAnsi="仿宋" w:eastAsia="仿宋" w:cs="仿宋"/>
          <w:b/>
          <w:bCs w:val="0"/>
          <w:sz w:val="28"/>
          <w:szCs w:val="22"/>
          <w:lang w:val="en-US" w:eastAsia="zh-CN"/>
        </w:rPr>
      </w:pPr>
      <w:r>
        <w:rPr>
          <w:rFonts w:hint="eastAsia" w:ascii="仿宋" w:hAnsi="仿宋" w:eastAsia="仿宋" w:cs="仿宋"/>
          <w:b/>
          <w:bCs w:val="0"/>
          <w:sz w:val="28"/>
          <w:szCs w:val="22"/>
          <w:lang w:val="en-US" w:eastAsia="zh-CN"/>
        </w:rPr>
        <w:t>预算年初控制数导入系统</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32"/>
          <w:lang w:val="en-US" w:eastAsia="zh-CN"/>
        </w:rPr>
      </w:pPr>
      <w:r>
        <w:rPr>
          <w:rFonts w:hint="eastAsia" w:ascii="宋体" w:hAnsi="宋体" w:eastAsia="宋体" w:cs="宋体"/>
          <w:sz w:val="24"/>
          <w:szCs w:val="32"/>
          <w:lang w:val="en-US" w:eastAsia="zh-CN"/>
        </w:rPr>
        <w:t>预算年初控制数导入，通过指标管理模块中 的“可执行指标导入”功能实现。</w:t>
      </w:r>
    </w:p>
    <w:p>
      <w:pPr>
        <w:keepNext w:val="0"/>
        <w:keepLines w:val="0"/>
        <w:pageBreakBefore w:val="0"/>
        <w:widowControl w:val="0"/>
        <w:numPr>
          <w:ilvl w:val="0"/>
          <w:numId w:val="2"/>
        </w:numPr>
        <w:kinsoku/>
        <w:wordWrap/>
        <w:overflowPunct/>
        <w:topLinePunct w:val="0"/>
        <w:autoSpaceDE/>
        <w:autoSpaceDN/>
        <w:bidi w:val="0"/>
        <w:adjustRightInd/>
        <w:snapToGrid/>
        <w:spacing w:line="360" w:lineRule="auto"/>
        <w:ind w:left="425" w:leftChars="0" w:hanging="425" w:firstLineChars="0"/>
        <w:textAlignment w:val="auto"/>
        <w:rPr>
          <w:rFonts w:hint="eastAsia" w:ascii="宋体" w:hAnsi="宋体" w:eastAsia="宋体" w:cs="宋体"/>
          <w:sz w:val="24"/>
          <w:szCs w:val="32"/>
          <w:lang w:val="en-US" w:eastAsia="zh-CN"/>
        </w:rPr>
      </w:pPr>
      <w:r>
        <w:rPr>
          <w:rFonts w:hint="eastAsia" w:ascii="宋体" w:hAnsi="宋体" w:eastAsia="宋体" w:cs="宋体"/>
          <w:sz w:val="24"/>
          <w:szCs w:val="32"/>
          <w:lang w:val="en-US" w:eastAsia="zh-CN"/>
        </w:rPr>
        <w:t>可执行指标导入界面。</w:t>
      </w:r>
    </w:p>
    <w:p>
      <w:pPr>
        <w:keepNext w:val="0"/>
        <w:keepLines w:val="0"/>
        <w:pageBreakBefore w:val="0"/>
        <w:widowControl w:val="0"/>
        <w:kinsoku/>
        <w:wordWrap/>
        <w:overflowPunct/>
        <w:topLinePunct w:val="0"/>
        <w:autoSpaceDE/>
        <w:autoSpaceDN/>
        <w:bidi w:val="0"/>
        <w:adjustRightInd/>
        <w:snapToGrid/>
        <w:spacing w:line="360" w:lineRule="auto"/>
        <w:textAlignment w:val="auto"/>
      </w:pPr>
      <w:r>
        <w:drawing>
          <wp:inline distT="0" distB="0" distL="114300" distR="114300">
            <wp:extent cx="5269230" cy="2411095"/>
            <wp:effectExtent l="0" t="0" r="7620" b="8255"/>
            <wp:docPr id="23"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4"/>
                    <pic:cNvPicPr>
                      <a:picLocks noChangeAspect="1"/>
                    </pic:cNvPicPr>
                  </pic:nvPicPr>
                  <pic:blipFill>
                    <a:blip r:embed="rId6"/>
                    <a:stretch>
                      <a:fillRect/>
                    </a:stretch>
                  </pic:blipFill>
                  <pic:spPr>
                    <a:xfrm>
                      <a:off x="0" y="0"/>
                      <a:ext cx="5269230" cy="2411095"/>
                    </a:xfrm>
                    <a:prstGeom prst="rect">
                      <a:avLst/>
                    </a:prstGeom>
                    <a:noFill/>
                    <a:ln>
                      <a:noFill/>
                    </a:ln>
                  </pic:spPr>
                </pic:pic>
              </a:graphicData>
            </a:graphic>
          </wp:inline>
        </w:drawing>
      </w:r>
    </w:p>
    <w:p>
      <w:pPr>
        <w:keepNext w:val="0"/>
        <w:keepLines w:val="0"/>
        <w:pageBreakBefore w:val="0"/>
        <w:widowControl w:val="0"/>
        <w:numPr>
          <w:ilvl w:val="0"/>
          <w:numId w:val="2"/>
        </w:numPr>
        <w:kinsoku/>
        <w:wordWrap/>
        <w:overflowPunct/>
        <w:topLinePunct w:val="0"/>
        <w:autoSpaceDE/>
        <w:autoSpaceDN/>
        <w:bidi w:val="0"/>
        <w:adjustRightInd/>
        <w:snapToGrid/>
        <w:spacing w:line="360" w:lineRule="auto"/>
        <w:ind w:left="425" w:leftChars="0" w:hanging="425" w:firstLineChars="0"/>
        <w:textAlignment w:val="auto"/>
        <w:rPr>
          <w:rFonts w:hint="default" w:ascii="宋体" w:hAnsi="宋体" w:eastAsia="宋体" w:cs="宋体"/>
          <w:sz w:val="24"/>
          <w:szCs w:val="32"/>
          <w:lang w:val="en-US" w:eastAsia="zh-CN"/>
        </w:rPr>
      </w:pPr>
      <w:r>
        <w:rPr>
          <w:rFonts w:hint="eastAsia" w:ascii="宋体" w:hAnsi="宋体" w:eastAsia="宋体" w:cs="宋体"/>
          <w:sz w:val="24"/>
          <w:szCs w:val="32"/>
          <w:lang w:val="en-US" w:eastAsia="zh-CN"/>
        </w:rPr>
        <w:t>可执行指标导入模板。</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default" w:ascii="宋体" w:hAnsi="宋体" w:eastAsia="宋体" w:cs="宋体"/>
          <w:sz w:val="24"/>
          <w:szCs w:val="32"/>
          <w:lang w:val="en-US" w:eastAsia="zh-CN"/>
        </w:rPr>
      </w:pPr>
      <w:r>
        <w:rPr>
          <w:rFonts w:hint="default" w:ascii="宋体" w:hAnsi="宋体" w:eastAsia="宋体" w:cs="宋体"/>
          <w:sz w:val="24"/>
          <w:szCs w:val="32"/>
          <w:lang w:val="en-US" w:eastAsia="zh-CN"/>
        </w:rPr>
        <w:object>
          <v:shape id="_x0000_i1025" o:spt="75" type="#_x0000_t75" style="height:66pt;width:72.75pt;" o:ole="t" filled="f" o:preferrelative="t" stroked="f" coordsize="21600,21600">
            <v:path/>
            <v:fill on="f" focussize="0,0"/>
            <v:stroke on="f"/>
            <v:imagedata r:id="rId8" o:title=""/>
            <o:lock v:ext="edit" aspectratio="t"/>
            <w10:wrap type="none"/>
            <w10:anchorlock/>
          </v:shape>
          <o:OLEObject Type="Embed" ProgID="Excel.Sheet.12" ShapeID="_x0000_i1025" DrawAspect="Icon" ObjectID="_1468075725" r:id="rId7">
            <o:LockedField>false</o:LockedField>
          </o:OLEObject>
        </w:object>
      </w:r>
    </w:p>
    <w:p>
      <w:pPr>
        <w:keepNext w:val="0"/>
        <w:keepLines w:val="0"/>
        <w:pageBreakBefore w:val="0"/>
        <w:widowControl w:val="0"/>
        <w:numPr>
          <w:ilvl w:val="0"/>
          <w:numId w:val="2"/>
        </w:numPr>
        <w:kinsoku/>
        <w:wordWrap/>
        <w:overflowPunct/>
        <w:topLinePunct w:val="0"/>
        <w:autoSpaceDE/>
        <w:autoSpaceDN/>
        <w:bidi w:val="0"/>
        <w:adjustRightInd/>
        <w:snapToGrid/>
        <w:spacing w:line="360" w:lineRule="auto"/>
        <w:ind w:left="425" w:leftChars="0" w:hanging="425" w:firstLineChars="0"/>
        <w:textAlignment w:val="auto"/>
        <w:rPr>
          <w:rFonts w:hint="default" w:ascii="宋体" w:hAnsi="宋体" w:eastAsia="宋体" w:cs="宋体"/>
          <w:sz w:val="24"/>
          <w:szCs w:val="32"/>
          <w:lang w:val="en-US" w:eastAsia="zh-CN"/>
        </w:rPr>
      </w:pPr>
      <w:r>
        <w:rPr>
          <w:rFonts w:hint="eastAsia" w:ascii="宋体" w:hAnsi="宋体" w:eastAsia="宋体" w:cs="宋体"/>
          <w:sz w:val="24"/>
          <w:szCs w:val="32"/>
          <w:lang w:val="en-US" w:eastAsia="zh-CN"/>
        </w:rPr>
        <w:t>导入完成后，进入可执行指标送审，审核，下达，支付方式确认流程。</w:t>
      </w:r>
    </w:p>
    <w:p>
      <w:pPr>
        <w:pStyle w:val="3"/>
        <w:bidi w:val="0"/>
        <w:ind w:left="575" w:hanging="575"/>
        <w:rPr>
          <w:rFonts w:hint="eastAsia" w:ascii="仿宋" w:hAnsi="仿宋" w:eastAsia="仿宋" w:cs="仿宋"/>
          <w:b/>
          <w:bCs w:val="0"/>
          <w:sz w:val="28"/>
          <w:szCs w:val="22"/>
          <w:lang w:val="en-US" w:eastAsia="zh-CN"/>
        </w:rPr>
      </w:pPr>
      <w:r>
        <w:rPr>
          <w:rFonts w:hint="eastAsia" w:ascii="仿宋" w:hAnsi="仿宋" w:eastAsia="仿宋" w:cs="仿宋"/>
          <w:b/>
          <w:bCs w:val="0"/>
          <w:sz w:val="28"/>
          <w:szCs w:val="22"/>
          <w:lang w:val="en-US" w:eastAsia="zh-CN"/>
        </w:rPr>
        <w:t>政府预算资金国库集中支付业务</w:t>
      </w:r>
    </w:p>
    <w:p>
      <w:pPr>
        <w:pStyle w:val="4"/>
        <w:bidi w:val="0"/>
        <w:ind w:left="720" w:hanging="720"/>
        <w:rPr>
          <w:rFonts w:hint="default" w:ascii="黑体" w:hAnsi="黑体" w:eastAsia="黑体" w:cs="黑体"/>
          <w:b w:val="0"/>
          <w:bCs/>
          <w:sz w:val="28"/>
          <w:szCs w:val="22"/>
          <w:lang w:val="en-US" w:eastAsia="zh-CN"/>
        </w:rPr>
      </w:pPr>
      <w:r>
        <w:rPr>
          <w:rFonts w:hint="eastAsia" w:ascii="黑体" w:hAnsi="黑体" w:eastAsia="黑体" w:cs="黑体"/>
          <w:b w:val="0"/>
          <w:bCs/>
          <w:sz w:val="28"/>
          <w:szCs w:val="22"/>
          <w:lang w:val="en-US" w:eastAsia="zh-CN"/>
        </w:rPr>
        <w:t>用款计划业务</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sz w:val="24"/>
          <w:szCs w:val="32"/>
          <w:lang w:val="en-US" w:eastAsia="zh-CN"/>
        </w:rPr>
      </w:pPr>
      <w:r>
        <w:rPr>
          <w:rFonts w:hint="eastAsia" w:ascii="宋体" w:hAnsi="宋体" w:eastAsia="宋体" w:cs="宋体"/>
          <w:sz w:val="24"/>
          <w:szCs w:val="32"/>
          <w:lang w:val="en-US" w:eastAsia="zh-CN"/>
        </w:rPr>
        <w:t>因对标要求取消财政直接支付和授权支付，支付方式整合为国库集中支付，所以在“支付方式确认”时，不仅需要对支付方式进行确认，还需要对账户类型进行确认。支付方式统一为1-国库集中支付，账户类型的默认规则：有单位零余额的预算单位调用单位零余额（对应非对标系统中的授权支付），无单位零余额的预算单位调用财政零余额（对应非对标系统的直接支付）。</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425" w:leftChars="0" w:hanging="425" w:firstLineChars="0"/>
        <w:textAlignment w:val="auto"/>
        <w:rPr>
          <w:rFonts w:hint="default" w:ascii="宋体" w:hAnsi="宋体" w:eastAsia="宋体" w:cs="宋体"/>
          <w:sz w:val="24"/>
          <w:szCs w:val="32"/>
          <w:lang w:val="en-US" w:eastAsia="zh-CN"/>
        </w:rPr>
      </w:pPr>
      <w:r>
        <w:rPr>
          <w:rFonts w:hint="eastAsia" w:ascii="宋体" w:hAnsi="宋体" w:eastAsia="宋体" w:cs="宋体"/>
          <w:sz w:val="24"/>
          <w:szCs w:val="32"/>
          <w:lang w:val="en-US" w:eastAsia="zh-CN"/>
        </w:rPr>
        <w:t>支付方式确认界面，支付方式修改弹框显示：</w:t>
      </w:r>
    </w:p>
    <w:p>
      <w:r>
        <w:drawing>
          <wp:inline distT="0" distB="0" distL="114300" distR="114300">
            <wp:extent cx="5269230" cy="2411095"/>
            <wp:effectExtent l="0" t="0" r="7620" b="8255"/>
            <wp:docPr id="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pic:cNvPicPr>
                      <a:picLocks noChangeAspect="1"/>
                    </pic:cNvPicPr>
                  </pic:nvPicPr>
                  <pic:blipFill>
                    <a:blip r:embed="rId9"/>
                    <a:stretch>
                      <a:fillRect/>
                    </a:stretch>
                  </pic:blipFill>
                  <pic:spPr>
                    <a:xfrm>
                      <a:off x="0" y="0"/>
                      <a:ext cx="5269230" cy="2411095"/>
                    </a:xfrm>
                    <a:prstGeom prst="rect">
                      <a:avLst/>
                    </a:prstGeom>
                    <a:noFill/>
                    <a:ln>
                      <a:noFill/>
                    </a:ln>
                  </pic:spPr>
                </pic:pic>
              </a:graphicData>
            </a:graphic>
          </wp:inline>
        </w:drawing>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425" w:leftChars="0" w:hanging="425" w:firstLineChars="0"/>
        <w:textAlignment w:val="auto"/>
        <w:rPr>
          <w:rFonts w:hint="default" w:ascii="宋体" w:hAnsi="宋体" w:eastAsia="宋体" w:cs="宋体"/>
          <w:sz w:val="24"/>
          <w:szCs w:val="32"/>
          <w:lang w:val="en-US" w:eastAsia="zh-CN"/>
        </w:rPr>
      </w:pPr>
      <w:r>
        <w:rPr>
          <w:rFonts w:hint="eastAsia" w:ascii="宋体" w:hAnsi="宋体" w:eastAsia="宋体" w:cs="宋体"/>
          <w:sz w:val="24"/>
          <w:szCs w:val="32"/>
          <w:lang w:val="en-US" w:eastAsia="zh-CN"/>
        </w:rPr>
        <w:t>保存后，点击“确认”，进入计划环节。</w:t>
      </w:r>
    </w:p>
    <w:p>
      <w:pPr>
        <w:pStyle w:val="5"/>
        <w:bidi w:val="0"/>
        <w:rPr>
          <w:rFonts w:hint="eastAsia" w:ascii="仿宋" w:hAnsi="仿宋" w:eastAsia="仿宋" w:cs="仿宋"/>
          <w:b/>
          <w:bCs w:val="0"/>
          <w:sz w:val="24"/>
          <w:szCs w:val="22"/>
          <w:lang w:val="en-US" w:eastAsia="zh-CN"/>
        </w:rPr>
      </w:pPr>
      <w:r>
        <w:rPr>
          <w:rFonts w:hint="eastAsia" w:ascii="仿宋" w:hAnsi="仿宋" w:eastAsia="仿宋" w:cs="仿宋"/>
          <w:b/>
          <w:bCs w:val="0"/>
          <w:sz w:val="24"/>
          <w:szCs w:val="22"/>
          <w:lang w:val="en-US" w:eastAsia="zh-CN"/>
        </w:rPr>
        <w:t>预算单位录入用款计划场景</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32"/>
          <w:lang w:val="en-US" w:eastAsia="zh-CN"/>
        </w:rPr>
      </w:pPr>
      <w:r>
        <w:rPr>
          <w:rFonts w:hint="eastAsia" w:ascii="宋体" w:hAnsi="宋体" w:eastAsia="宋体" w:cs="宋体"/>
          <w:sz w:val="24"/>
          <w:szCs w:val="32"/>
          <w:lang w:val="en-US" w:eastAsia="zh-CN"/>
        </w:rPr>
        <w:t>预算执行对标系统支持预算单位分级录入用款计划，界面显示的额度数据</w:t>
      </w:r>
      <w:r>
        <w:rPr>
          <w:rFonts w:hint="eastAsia" w:ascii="宋体" w:hAnsi="宋体" w:eastAsia="宋体" w:cs="宋体"/>
          <w:sz w:val="24"/>
          <w:szCs w:val="32"/>
          <w:highlight w:val="yellow"/>
          <w:lang w:val="en-US" w:eastAsia="zh-CN"/>
        </w:rPr>
        <w:t>账户类型为21-单位零余额</w:t>
      </w:r>
      <w:r>
        <w:rPr>
          <w:rFonts w:hint="eastAsia" w:ascii="宋体" w:hAnsi="宋体" w:eastAsia="宋体" w:cs="宋体"/>
          <w:sz w:val="24"/>
          <w:szCs w:val="32"/>
          <w:lang w:val="en-US" w:eastAsia="zh-CN"/>
        </w:rPr>
        <w:t>，</w:t>
      </w:r>
      <w:r>
        <w:rPr>
          <w:rFonts w:hint="eastAsia" w:ascii="宋体" w:hAnsi="宋体" w:eastAsia="宋体" w:cs="宋体"/>
          <w:sz w:val="24"/>
          <w:szCs w:val="32"/>
          <w:highlight w:val="yellow"/>
          <w:lang w:val="en-US" w:eastAsia="zh-CN"/>
        </w:rPr>
        <w:t>支付方式为1-国库集中支付</w:t>
      </w:r>
      <w:r>
        <w:rPr>
          <w:rFonts w:hint="eastAsia" w:ascii="宋体" w:hAnsi="宋体" w:eastAsia="宋体" w:cs="宋体"/>
          <w:sz w:val="24"/>
          <w:szCs w:val="32"/>
          <w:lang w:val="en-US" w:eastAsia="zh-CN"/>
        </w:rPr>
        <w:t>，</w:t>
      </w:r>
      <w:r>
        <w:rPr>
          <w:rFonts w:hint="eastAsia" w:ascii="宋体" w:hAnsi="宋体" w:eastAsia="宋体" w:cs="宋体"/>
          <w:sz w:val="24"/>
          <w:szCs w:val="32"/>
          <w:highlight w:val="yellow"/>
          <w:lang w:val="en-US" w:eastAsia="zh-CN"/>
        </w:rPr>
        <w:t>资金性质为1开头的政府预算资金。</w:t>
      </w:r>
    </w:p>
    <w:p>
      <w:pPr>
        <w:keepNext w:val="0"/>
        <w:keepLines w:val="0"/>
        <w:pageBreakBefore w:val="0"/>
        <w:widowControl w:val="0"/>
        <w:numPr>
          <w:ilvl w:val="0"/>
          <w:numId w:val="4"/>
        </w:numPr>
        <w:kinsoku/>
        <w:wordWrap/>
        <w:overflowPunct/>
        <w:topLinePunct w:val="0"/>
        <w:autoSpaceDE/>
        <w:autoSpaceDN/>
        <w:bidi w:val="0"/>
        <w:adjustRightInd/>
        <w:snapToGrid/>
        <w:spacing w:line="360" w:lineRule="auto"/>
        <w:ind w:left="425" w:leftChars="0" w:hanging="425" w:firstLineChars="0"/>
        <w:textAlignment w:val="auto"/>
        <w:rPr>
          <w:rFonts w:hint="default" w:ascii="宋体" w:hAnsi="宋体" w:eastAsia="宋体" w:cs="宋体"/>
          <w:sz w:val="24"/>
          <w:szCs w:val="32"/>
          <w:lang w:val="en-US" w:eastAsia="zh-CN"/>
        </w:rPr>
      </w:pPr>
      <w:r>
        <w:rPr>
          <w:rFonts w:hint="eastAsia" w:ascii="宋体" w:hAnsi="宋体" w:eastAsia="宋体" w:cs="宋体"/>
          <w:sz w:val="24"/>
          <w:szCs w:val="32"/>
          <w:lang w:val="en-US" w:eastAsia="zh-CN"/>
        </w:rPr>
        <w:t>通过指标额度的标识信息，判断所属业务。</w:t>
      </w:r>
      <w:r>
        <w:rPr>
          <w:rFonts w:hint="eastAsia" w:ascii="宋体" w:hAnsi="宋体" w:eastAsia="宋体" w:cs="宋体"/>
          <w:sz w:val="24"/>
          <w:szCs w:val="32"/>
          <w:highlight w:val="lightGray"/>
          <w:lang w:val="en-US" w:eastAsia="zh-CN"/>
        </w:rPr>
        <w:t>业务包含普通支付、政府采购、三公经费、工会经费、工资发放</w:t>
      </w:r>
      <w:r>
        <w:rPr>
          <w:rFonts w:hint="eastAsia" w:ascii="宋体" w:hAnsi="宋体" w:eastAsia="宋体" w:cs="宋体"/>
          <w:sz w:val="24"/>
          <w:szCs w:val="32"/>
          <w:lang w:val="en-US" w:eastAsia="zh-CN"/>
        </w:rPr>
        <w:t>。</w:t>
      </w:r>
    </w:p>
    <w:p>
      <w:r>
        <w:drawing>
          <wp:inline distT="0" distB="0" distL="114300" distR="114300">
            <wp:extent cx="5269230" cy="1454150"/>
            <wp:effectExtent l="0" t="0" r="7620" b="1270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0"/>
                    <a:stretch>
                      <a:fillRect/>
                    </a:stretch>
                  </pic:blipFill>
                  <pic:spPr>
                    <a:xfrm>
                      <a:off x="0" y="0"/>
                      <a:ext cx="5269230" cy="1454150"/>
                    </a:xfrm>
                    <a:prstGeom prst="rect">
                      <a:avLst/>
                    </a:prstGeom>
                    <a:noFill/>
                    <a:ln>
                      <a:noFill/>
                    </a:ln>
                  </pic:spPr>
                </pic:pic>
              </a:graphicData>
            </a:graphic>
          </wp:inline>
        </w:drawing>
      </w:r>
    </w:p>
    <w:p>
      <w:pPr>
        <w:keepNext w:val="0"/>
        <w:keepLines w:val="0"/>
        <w:pageBreakBefore w:val="0"/>
        <w:widowControl w:val="0"/>
        <w:numPr>
          <w:ilvl w:val="0"/>
          <w:numId w:val="4"/>
        </w:numPr>
        <w:kinsoku/>
        <w:wordWrap/>
        <w:overflowPunct/>
        <w:topLinePunct w:val="0"/>
        <w:autoSpaceDE/>
        <w:autoSpaceDN/>
        <w:bidi w:val="0"/>
        <w:adjustRightInd/>
        <w:snapToGrid/>
        <w:spacing w:line="360" w:lineRule="auto"/>
        <w:ind w:left="425" w:leftChars="0" w:hanging="425" w:firstLineChars="0"/>
        <w:textAlignment w:val="auto"/>
        <w:rPr>
          <w:rFonts w:hint="eastAsia" w:ascii="宋体" w:hAnsi="宋体" w:eastAsia="宋体" w:cs="宋体"/>
          <w:sz w:val="24"/>
          <w:szCs w:val="32"/>
          <w:lang w:val="en-US" w:eastAsia="zh-CN"/>
        </w:rPr>
      </w:pPr>
      <w:r>
        <w:rPr>
          <w:rFonts w:hint="eastAsia" w:ascii="宋体" w:hAnsi="宋体" w:eastAsia="宋体" w:cs="宋体"/>
          <w:sz w:val="24"/>
          <w:szCs w:val="32"/>
          <w:lang w:val="en-US" w:eastAsia="zh-CN"/>
        </w:rPr>
        <w:t>预算单位录入用款计划，一级、二级、三级、四级预算单位录入用款计划界面一致。</w:t>
      </w:r>
    </w:p>
    <w:p>
      <w:pPr>
        <w:keepNext w:val="0"/>
        <w:keepLines w:val="0"/>
        <w:pageBreakBefore w:val="0"/>
        <w:widowControl w:val="0"/>
        <w:kinsoku/>
        <w:wordWrap/>
        <w:overflowPunct/>
        <w:topLinePunct w:val="0"/>
        <w:autoSpaceDE/>
        <w:autoSpaceDN/>
        <w:bidi w:val="0"/>
        <w:adjustRightInd/>
        <w:snapToGrid/>
        <w:spacing w:line="360" w:lineRule="auto"/>
        <w:textAlignment w:val="auto"/>
      </w:pPr>
      <w:r>
        <w:drawing>
          <wp:inline distT="0" distB="0" distL="114300" distR="114300">
            <wp:extent cx="5269230" cy="2411095"/>
            <wp:effectExtent l="0" t="0" r="7620" b="8255"/>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11"/>
                    <a:stretch>
                      <a:fillRect/>
                    </a:stretch>
                  </pic:blipFill>
                  <pic:spPr>
                    <a:xfrm>
                      <a:off x="0" y="0"/>
                      <a:ext cx="5269230" cy="2411095"/>
                    </a:xfrm>
                    <a:prstGeom prst="rect">
                      <a:avLst/>
                    </a:prstGeom>
                    <a:noFill/>
                    <a:ln>
                      <a:noFill/>
                    </a:ln>
                  </pic:spPr>
                </pic:pic>
              </a:graphicData>
            </a:graphic>
          </wp:inline>
        </w:drawing>
      </w:r>
    </w:p>
    <w:p>
      <w:pPr>
        <w:keepNext w:val="0"/>
        <w:keepLines w:val="0"/>
        <w:pageBreakBefore w:val="0"/>
        <w:widowControl w:val="0"/>
        <w:numPr>
          <w:ilvl w:val="0"/>
          <w:numId w:val="4"/>
        </w:numPr>
        <w:kinsoku/>
        <w:wordWrap/>
        <w:overflowPunct/>
        <w:topLinePunct w:val="0"/>
        <w:autoSpaceDE/>
        <w:autoSpaceDN/>
        <w:bidi w:val="0"/>
        <w:adjustRightInd/>
        <w:snapToGrid/>
        <w:spacing w:line="360" w:lineRule="auto"/>
        <w:ind w:left="425" w:leftChars="0" w:hanging="425" w:firstLineChars="0"/>
        <w:textAlignment w:val="auto"/>
        <w:rPr>
          <w:rFonts w:hint="default" w:ascii="宋体" w:hAnsi="宋体" w:eastAsia="宋体" w:cs="宋体"/>
          <w:sz w:val="24"/>
          <w:szCs w:val="32"/>
          <w:lang w:val="en-US" w:eastAsia="zh-CN"/>
        </w:rPr>
      </w:pPr>
      <w:r>
        <w:rPr>
          <w:rFonts w:hint="eastAsia" w:ascii="宋体" w:hAnsi="宋体" w:eastAsia="宋体" w:cs="宋体"/>
          <w:sz w:val="24"/>
          <w:szCs w:val="32"/>
          <w:lang w:val="en-US" w:eastAsia="zh-CN"/>
        </w:rPr>
        <w:t>保存后，进入用款计划送审，审核，批复流程。预算单位录入用款计划需逐级审核。如四级预算单位录入的用款计划，四级单位审核通过后，三级预算单位审核，审核通过后，二级预算单位审核，审核通过后，主管部门审核。</w:t>
      </w:r>
    </w:p>
    <w:p>
      <w:pPr>
        <w:pStyle w:val="5"/>
        <w:bidi w:val="0"/>
        <w:ind w:left="864" w:hanging="864"/>
        <w:rPr>
          <w:rFonts w:hint="eastAsia" w:ascii="仿宋" w:hAnsi="仿宋" w:eastAsia="仿宋" w:cs="仿宋"/>
          <w:b/>
          <w:bCs w:val="0"/>
          <w:sz w:val="24"/>
          <w:szCs w:val="22"/>
          <w:lang w:val="en-US" w:eastAsia="zh-CN"/>
        </w:rPr>
      </w:pPr>
      <w:r>
        <w:rPr>
          <w:rFonts w:hint="eastAsia" w:ascii="仿宋" w:hAnsi="仿宋" w:eastAsia="仿宋" w:cs="仿宋"/>
          <w:b/>
          <w:bCs w:val="0"/>
          <w:sz w:val="24"/>
          <w:szCs w:val="22"/>
          <w:lang w:val="en-US" w:eastAsia="zh-CN"/>
        </w:rPr>
        <w:t>财政代编用款计划场景</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32"/>
          <w:lang w:val="en-US" w:eastAsia="zh-CN"/>
        </w:rPr>
      </w:pPr>
      <w:r>
        <w:rPr>
          <w:rFonts w:hint="eastAsia" w:ascii="宋体" w:hAnsi="宋体" w:eastAsia="宋体" w:cs="宋体"/>
          <w:sz w:val="24"/>
          <w:szCs w:val="32"/>
          <w:lang w:val="en-US" w:eastAsia="zh-CN"/>
        </w:rPr>
        <w:t>预算执行对标系统支持财政代编用款计划，界面显示的额度数据</w:t>
      </w:r>
      <w:r>
        <w:rPr>
          <w:rFonts w:hint="eastAsia" w:ascii="宋体" w:hAnsi="宋体" w:eastAsia="宋体" w:cs="宋体"/>
          <w:sz w:val="24"/>
          <w:szCs w:val="32"/>
          <w:highlight w:val="yellow"/>
          <w:lang w:val="en-US" w:eastAsia="zh-CN"/>
        </w:rPr>
        <w:t>账户类型为22-财政零余额</w:t>
      </w:r>
      <w:r>
        <w:rPr>
          <w:rFonts w:hint="eastAsia" w:ascii="宋体" w:hAnsi="宋体" w:eastAsia="宋体" w:cs="宋体"/>
          <w:sz w:val="24"/>
          <w:szCs w:val="32"/>
          <w:lang w:val="en-US" w:eastAsia="zh-CN"/>
        </w:rPr>
        <w:t>，</w:t>
      </w:r>
      <w:r>
        <w:rPr>
          <w:rFonts w:hint="eastAsia" w:ascii="宋体" w:hAnsi="宋体" w:eastAsia="宋体" w:cs="宋体"/>
          <w:sz w:val="24"/>
          <w:szCs w:val="32"/>
          <w:highlight w:val="yellow"/>
          <w:lang w:val="en-US" w:eastAsia="zh-CN"/>
        </w:rPr>
        <w:t>支付方式为1-国库集中支付</w:t>
      </w:r>
      <w:r>
        <w:rPr>
          <w:rFonts w:hint="eastAsia" w:ascii="宋体" w:hAnsi="宋体" w:eastAsia="宋体" w:cs="宋体"/>
          <w:sz w:val="24"/>
          <w:szCs w:val="32"/>
          <w:lang w:val="en-US" w:eastAsia="zh-CN"/>
        </w:rPr>
        <w:t>，</w:t>
      </w:r>
      <w:r>
        <w:rPr>
          <w:rFonts w:hint="eastAsia" w:ascii="宋体" w:hAnsi="宋体" w:eastAsia="宋体" w:cs="宋体"/>
          <w:sz w:val="24"/>
          <w:szCs w:val="32"/>
          <w:highlight w:val="yellow"/>
          <w:lang w:val="en-US" w:eastAsia="zh-CN"/>
        </w:rPr>
        <w:t>资金性质为1开头的政府预算资金。</w:t>
      </w:r>
    </w:p>
    <w:p>
      <w:pPr>
        <w:keepNext w:val="0"/>
        <w:keepLines w:val="0"/>
        <w:pageBreakBefore w:val="0"/>
        <w:widowControl w:val="0"/>
        <w:numPr>
          <w:ilvl w:val="0"/>
          <w:numId w:val="5"/>
        </w:numPr>
        <w:kinsoku/>
        <w:wordWrap/>
        <w:overflowPunct/>
        <w:topLinePunct w:val="0"/>
        <w:autoSpaceDE/>
        <w:autoSpaceDN/>
        <w:bidi w:val="0"/>
        <w:adjustRightInd/>
        <w:snapToGrid/>
        <w:spacing w:line="360" w:lineRule="auto"/>
        <w:ind w:left="425" w:leftChars="0" w:hanging="425" w:firstLineChars="0"/>
        <w:textAlignment w:val="auto"/>
        <w:rPr>
          <w:rFonts w:hint="default" w:ascii="宋体" w:hAnsi="宋体" w:eastAsia="宋体" w:cs="宋体"/>
          <w:sz w:val="24"/>
          <w:szCs w:val="32"/>
          <w:lang w:val="en-US" w:eastAsia="zh-CN"/>
        </w:rPr>
      </w:pPr>
      <w:r>
        <w:rPr>
          <w:rFonts w:hint="eastAsia" w:ascii="宋体" w:hAnsi="宋体" w:eastAsia="宋体" w:cs="宋体"/>
          <w:sz w:val="24"/>
          <w:szCs w:val="32"/>
          <w:lang w:val="en-US" w:eastAsia="zh-CN"/>
        </w:rPr>
        <w:t>通过指标额度的标识信息，判断所属业务。</w:t>
      </w:r>
      <w:r>
        <w:rPr>
          <w:rFonts w:hint="eastAsia" w:ascii="宋体" w:hAnsi="宋体" w:eastAsia="宋体" w:cs="宋体"/>
          <w:sz w:val="24"/>
          <w:szCs w:val="32"/>
          <w:highlight w:val="lightGray"/>
          <w:lang w:val="en-US" w:eastAsia="zh-CN"/>
        </w:rPr>
        <w:t>业务包含普通支付、政府采购、工资发放</w:t>
      </w:r>
      <w:r>
        <w:rPr>
          <w:rFonts w:hint="eastAsia" w:ascii="宋体" w:hAnsi="宋体" w:eastAsia="宋体" w:cs="宋体"/>
          <w:sz w:val="24"/>
          <w:szCs w:val="32"/>
          <w:lang w:val="en-US" w:eastAsia="zh-CN"/>
        </w:rPr>
        <w:t>。</w:t>
      </w:r>
    </w:p>
    <w:p>
      <w:r>
        <w:drawing>
          <wp:inline distT="0" distB="0" distL="114300" distR="114300">
            <wp:extent cx="5269230" cy="1454150"/>
            <wp:effectExtent l="0" t="0" r="7620" b="1270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0"/>
                    <a:stretch>
                      <a:fillRect/>
                    </a:stretch>
                  </pic:blipFill>
                  <pic:spPr>
                    <a:xfrm>
                      <a:off x="0" y="0"/>
                      <a:ext cx="5269230" cy="1454150"/>
                    </a:xfrm>
                    <a:prstGeom prst="rect">
                      <a:avLst/>
                    </a:prstGeom>
                    <a:noFill/>
                    <a:ln>
                      <a:noFill/>
                    </a:ln>
                  </pic:spPr>
                </pic:pic>
              </a:graphicData>
            </a:graphic>
          </wp:inline>
        </w:drawing>
      </w:r>
    </w:p>
    <w:p>
      <w:pPr>
        <w:keepNext w:val="0"/>
        <w:keepLines w:val="0"/>
        <w:pageBreakBefore w:val="0"/>
        <w:widowControl w:val="0"/>
        <w:numPr>
          <w:ilvl w:val="0"/>
          <w:numId w:val="5"/>
        </w:numPr>
        <w:kinsoku/>
        <w:wordWrap/>
        <w:overflowPunct/>
        <w:topLinePunct w:val="0"/>
        <w:autoSpaceDE/>
        <w:autoSpaceDN/>
        <w:bidi w:val="0"/>
        <w:adjustRightInd/>
        <w:snapToGrid/>
        <w:spacing w:line="360" w:lineRule="auto"/>
        <w:ind w:left="425" w:leftChars="0" w:hanging="425" w:firstLineChars="0"/>
        <w:textAlignment w:val="auto"/>
        <w:rPr>
          <w:rFonts w:hint="eastAsia" w:ascii="宋体" w:hAnsi="宋体" w:eastAsia="宋体" w:cs="宋体"/>
          <w:sz w:val="24"/>
          <w:szCs w:val="32"/>
          <w:lang w:val="en-US" w:eastAsia="zh-CN"/>
        </w:rPr>
      </w:pPr>
      <w:r>
        <w:rPr>
          <w:rFonts w:hint="eastAsia" w:ascii="宋体" w:hAnsi="宋体" w:eastAsia="宋体" w:cs="宋体"/>
          <w:sz w:val="24"/>
          <w:szCs w:val="32"/>
          <w:lang w:val="en-US" w:eastAsia="zh-CN"/>
        </w:rPr>
        <w:t>财政代编用款计划录入界面。</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宋体" w:hAnsi="宋体" w:eastAsia="宋体" w:cs="宋体"/>
          <w:sz w:val="24"/>
          <w:szCs w:val="32"/>
          <w:lang w:val="en-US" w:eastAsia="zh-CN"/>
        </w:rPr>
      </w:pPr>
      <w:r>
        <w:drawing>
          <wp:inline distT="0" distB="0" distL="114300" distR="114300">
            <wp:extent cx="5265420" cy="2341245"/>
            <wp:effectExtent l="0" t="0" r="11430" b="190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2"/>
                    <a:stretch>
                      <a:fillRect/>
                    </a:stretch>
                  </pic:blipFill>
                  <pic:spPr>
                    <a:xfrm>
                      <a:off x="0" y="0"/>
                      <a:ext cx="5265420" cy="2341245"/>
                    </a:xfrm>
                    <a:prstGeom prst="rect">
                      <a:avLst/>
                    </a:prstGeom>
                    <a:noFill/>
                    <a:ln>
                      <a:noFill/>
                    </a:ln>
                  </pic:spPr>
                </pic:pic>
              </a:graphicData>
            </a:graphic>
          </wp:inline>
        </w:drawing>
      </w:r>
    </w:p>
    <w:p>
      <w:pPr>
        <w:keepNext w:val="0"/>
        <w:keepLines w:val="0"/>
        <w:pageBreakBefore w:val="0"/>
        <w:widowControl w:val="0"/>
        <w:numPr>
          <w:ilvl w:val="0"/>
          <w:numId w:val="5"/>
        </w:numPr>
        <w:kinsoku/>
        <w:wordWrap/>
        <w:overflowPunct/>
        <w:topLinePunct w:val="0"/>
        <w:autoSpaceDE/>
        <w:autoSpaceDN/>
        <w:bidi w:val="0"/>
        <w:adjustRightInd/>
        <w:snapToGrid/>
        <w:spacing w:line="360" w:lineRule="auto"/>
        <w:ind w:left="425" w:leftChars="0" w:hanging="425" w:firstLineChars="0"/>
        <w:textAlignment w:val="auto"/>
        <w:rPr>
          <w:rFonts w:hint="eastAsia" w:ascii="宋体" w:hAnsi="宋体" w:eastAsia="宋体" w:cs="宋体"/>
          <w:sz w:val="24"/>
          <w:szCs w:val="32"/>
          <w:lang w:val="en-US" w:eastAsia="zh-CN"/>
        </w:rPr>
      </w:pPr>
      <w:r>
        <w:rPr>
          <w:rFonts w:hint="eastAsia" w:ascii="宋体" w:hAnsi="宋体" w:eastAsia="宋体" w:cs="宋体"/>
          <w:sz w:val="24"/>
          <w:szCs w:val="32"/>
          <w:lang w:val="en-US" w:eastAsia="zh-CN"/>
        </w:rPr>
        <w:t>保存后，进入用款计划送审，审核，批复流程。</w:t>
      </w:r>
    </w:p>
    <w:p>
      <w:pPr>
        <w:keepNext w:val="0"/>
        <w:keepLines w:val="0"/>
        <w:pageBreakBefore w:val="0"/>
        <w:widowControl w:val="0"/>
        <w:kinsoku/>
        <w:wordWrap/>
        <w:overflowPunct/>
        <w:topLinePunct w:val="0"/>
        <w:autoSpaceDE/>
        <w:autoSpaceDN/>
        <w:bidi w:val="0"/>
        <w:adjustRightInd/>
        <w:snapToGrid/>
        <w:spacing w:line="360" w:lineRule="auto"/>
        <w:textAlignment w:val="auto"/>
      </w:pPr>
    </w:p>
    <w:p>
      <w:pPr>
        <w:rPr>
          <w:rFonts w:hint="eastAsia"/>
          <w:lang w:val="en-US" w:eastAsia="zh-CN"/>
        </w:rPr>
      </w:pPr>
    </w:p>
    <w:p>
      <w:pPr>
        <w:pStyle w:val="5"/>
        <w:bidi w:val="0"/>
        <w:ind w:left="864" w:hanging="864"/>
        <w:rPr>
          <w:rFonts w:hint="eastAsia" w:ascii="仿宋" w:hAnsi="仿宋" w:eastAsia="仿宋" w:cs="仿宋"/>
          <w:b/>
          <w:bCs w:val="0"/>
          <w:sz w:val="24"/>
          <w:szCs w:val="22"/>
          <w:lang w:val="en-US" w:eastAsia="zh-CN"/>
        </w:rPr>
      </w:pPr>
      <w:r>
        <w:rPr>
          <w:rFonts w:hint="eastAsia" w:ascii="仿宋" w:hAnsi="仿宋" w:eastAsia="仿宋" w:cs="仿宋"/>
          <w:b/>
          <w:bCs w:val="0"/>
          <w:sz w:val="24"/>
          <w:szCs w:val="22"/>
          <w:lang w:val="en-US" w:eastAsia="zh-CN"/>
        </w:rPr>
        <w:t>财政代编预算单位的基本支出用款计划场景</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32"/>
          <w:highlight w:val="yellow"/>
          <w:lang w:val="en-US" w:eastAsia="zh-CN"/>
        </w:rPr>
      </w:pPr>
      <w:r>
        <w:rPr>
          <w:rFonts w:hint="eastAsia" w:ascii="宋体" w:hAnsi="宋体" w:eastAsia="宋体" w:cs="宋体"/>
          <w:sz w:val="24"/>
          <w:szCs w:val="32"/>
          <w:lang w:val="en-US" w:eastAsia="zh-CN"/>
        </w:rPr>
        <w:t>财政代编预算单位的基本支出用款计划通过“用款计划批量录入”功能实现，界面显示的额度数据</w:t>
      </w:r>
      <w:r>
        <w:rPr>
          <w:rFonts w:hint="eastAsia" w:ascii="宋体" w:hAnsi="宋体" w:eastAsia="宋体" w:cs="宋体"/>
          <w:sz w:val="24"/>
          <w:szCs w:val="32"/>
          <w:highlight w:val="yellow"/>
          <w:lang w:val="en-US" w:eastAsia="zh-CN"/>
        </w:rPr>
        <w:t>账户类型为21-单位零余额</w:t>
      </w:r>
      <w:r>
        <w:rPr>
          <w:rFonts w:hint="eastAsia" w:ascii="宋体" w:hAnsi="宋体" w:eastAsia="宋体" w:cs="宋体"/>
          <w:sz w:val="24"/>
          <w:szCs w:val="32"/>
          <w:lang w:val="en-US" w:eastAsia="zh-CN"/>
        </w:rPr>
        <w:t>，</w:t>
      </w:r>
      <w:r>
        <w:rPr>
          <w:rFonts w:hint="eastAsia" w:ascii="宋体" w:hAnsi="宋体" w:eastAsia="宋体" w:cs="宋体"/>
          <w:sz w:val="24"/>
          <w:szCs w:val="32"/>
          <w:highlight w:val="yellow"/>
          <w:lang w:val="en-US" w:eastAsia="zh-CN"/>
        </w:rPr>
        <w:t>支付方式为1-国库集中支付</w:t>
      </w:r>
      <w:r>
        <w:rPr>
          <w:rFonts w:hint="eastAsia" w:ascii="宋体" w:hAnsi="宋体" w:eastAsia="宋体" w:cs="宋体"/>
          <w:sz w:val="24"/>
          <w:szCs w:val="32"/>
          <w:lang w:val="en-US" w:eastAsia="zh-CN"/>
        </w:rPr>
        <w:t>，</w:t>
      </w:r>
      <w:r>
        <w:rPr>
          <w:rFonts w:hint="eastAsia" w:ascii="宋体" w:hAnsi="宋体" w:eastAsia="宋体" w:cs="宋体"/>
          <w:sz w:val="24"/>
          <w:szCs w:val="32"/>
          <w:highlight w:val="yellow"/>
          <w:lang w:val="en-US" w:eastAsia="zh-CN"/>
        </w:rPr>
        <w:t>资金性质为1开头的政府预算资金</w:t>
      </w:r>
      <w:r>
        <w:rPr>
          <w:rFonts w:hint="eastAsia" w:ascii="宋体" w:hAnsi="宋体" w:eastAsia="宋体" w:cs="宋体"/>
          <w:sz w:val="24"/>
          <w:szCs w:val="32"/>
          <w:highlight w:val="none"/>
          <w:lang w:val="en-US" w:eastAsia="zh-CN"/>
        </w:rPr>
        <w:t>，</w:t>
      </w:r>
      <w:r>
        <w:rPr>
          <w:rFonts w:hint="eastAsia" w:ascii="宋体" w:hAnsi="宋体" w:eastAsia="宋体" w:cs="宋体"/>
          <w:sz w:val="24"/>
          <w:szCs w:val="32"/>
          <w:highlight w:val="yellow"/>
          <w:lang w:val="en-US" w:eastAsia="zh-CN"/>
        </w:rPr>
        <w:t>收支类型为11-工资福利支出或12-对个人和家庭补助支出或21-公用经费。</w:t>
      </w:r>
    </w:p>
    <w:p>
      <w:pPr>
        <w:keepNext w:val="0"/>
        <w:keepLines w:val="0"/>
        <w:pageBreakBefore w:val="0"/>
        <w:widowControl w:val="0"/>
        <w:numPr>
          <w:ilvl w:val="0"/>
          <w:numId w:val="6"/>
        </w:numPr>
        <w:kinsoku/>
        <w:wordWrap/>
        <w:overflowPunct/>
        <w:topLinePunct w:val="0"/>
        <w:autoSpaceDE/>
        <w:autoSpaceDN/>
        <w:bidi w:val="0"/>
        <w:adjustRightInd/>
        <w:snapToGrid/>
        <w:spacing w:line="360" w:lineRule="auto"/>
        <w:ind w:left="425" w:leftChars="0" w:hanging="425" w:firstLineChars="0"/>
        <w:textAlignment w:val="auto"/>
        <w:rPr>
          <w:rFonts w:hint="default" w:ascii="宋体" w:hAnsi="宋体" w:eastAsia="宋体" w:cs="宋体"/>
          <w:sz w:val="24"/>
          <w:szCs w:val="32"/>
          <w:lang w:val="en-US" w:eastAsia="zh-CN"/>
        </w:rPr>
      </w:pPr>
      <w:r>
        <w:rPr>
          <w:rFonts w:hint="eastAsia" w:ascii="宋体" w:hAnsi="宋体" w:eastAsia="宋体" w:cs="宋体"/>
          <w:sz w:val="24"/>
          <w:szCs w:val="32"/>
          <w:lang w:val="en-US" w:eastAsia="zh-CN"/>
        </w:rPr>
        <w:t>用款计划批量录入界面，可按照“全部额度，剩余额度和计划占比”百分比录入。</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default" w:ascii="宋体" w:hAnsi="宋体" w:eastAsia="宋体" w:cs="宋体"/>
          <w:sz w:val="24"/>
          <w:szCs w:val="32"/>
          <w:lang w:val="en-US" w:eastAsia="zh-CN"/>
        </w:rPr>
      </w:pPr>
      <w:r>
        <w:drawing>
          <wp:inline distT="0" distB="0" distL="114300" distR="114300">
            <wp:extent cx="5261610" cy="2164715"/>
            <wp:effectExtent l="0" t="0" r="15240" b="6985"/>
            <wp:docPr id="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pic:cNvPicPr>
                      <a:picLocks noChangeAspect="1"/>
                    </pic:cNvPicPr>
                  </pic:nvPicPr>
                  <pic:blipFill>
                    <a:blip r:embed="rId13"/>
                    <a:stretch>
                      <a:fillRect/>
                    </a:stretch>
                  </pic:blipFill>
                  <pic:spPr>
                    <a:xfrm>
                      <a:off x="0" y="0"/>
                      <a:ext cx="5261610" cy="2164715"/>
                    </a:xfrm>
                    <a:prstGeom prst="rect">
                      <a:avLst/>
                    </a:prstGeom>
                    <a:noFill/>
                    <a:ln>
                      <a:noFill/>
                    </a:ln>
                  </pic:spPr>
                </pic:pic>
              </a:graphicData>
            </a:graphic>
          </wp:inline>
        </w:drawing>
      </w:r>
    </w:p>
    <w:p>
      <w:pPr>
        <w:keepNext w:val="0"/>
        <w:keepLines w:val="0"/>
        <w:pageBreakBefore w:val="0"/>
        <w:widowControl w:val="0"/>
        <w:numPr>
          <w:ilvl w:val="0"/>
          <w:numId w:val="6"/>
        </w:numPr>
        <w:kinsoku/>
        <w:wordWrap/>
        <w:overflowPunct/>
        <w:topLinePunct w:val="0"/>
        <w:autoSpaceDE/>
        <w:autoSpaceDN/>
        <w:bidi w:val="0"/>
        <w:adjustRightInd/>
        <w:snapToGrid/>
        <w:spacing w:line="360" w:lineRule="auto"/>
        <w:ind w:left="425" w:leftChars="0" w:hanging="425" w:firstLineChars="0"/>
        <w:textAlignment w:val="auto"/>
        <w:rPr>
          <w:rFonts w:hint="default" w:ascii="宋体" w:hAnsi="宋体" w:eastAsia="宋体" w:cs="宋体"/>
          <w:sz w:val="24"/>
          <w:szCs w:val="32"/>
          <w:lang w:val="en-US" w:eastAsia="zh-CN"/>
        </w:rPr>
      </w:pPr>
      <w:r>
        <w:rPr>
          <w:rFonts w:hint="eastAsia" w:ascii="宋体" w:hAnsi="宋体" w:eastAsia="宋体" w:cs="宋体"/>
          <w:sz w:val="24"/>
          <w:szCs w:val="32"/>
          <w:lang w:val="en-US" w:eastAsia="zh-CN"/>
        </w:rPr>
        <w:t>保存后，进入用款计划送审，审核，批复流程。</w:t>
      </w:r>
    </w:p>
    <w:p>
      <w:pPr>
        <w:pStyle w:val="5"/>
        <w:bidi w:val="0"/>
        <w:ind w:left="864" w:hanging="864"/>
        <w:rPr>
          <w:rFonts w:hint="eastAsia" w:ascii="仿宋" w:hAnsi="仿宋" w:eastAsia="仿宋" w:cs="仿宋"/>
          <w:b/>
          <w:bCs w:val="0"/>
          <w:sz w:val="24"/>
          <w:szCs w:val="22"/>
          <w:lang w:val="en-US" w:eastAsia="zh-CN"/>
        </w:rPr>
      </w:pPr>
      <w:r>
        <w:rPr>
          <w:rFonts w:hint="eastAsia" w:ascii="仿宋" w:hAnsi="仿宋" w:eastAsia="仿宋" w:cs="仿宋"/>
          <w:b/>
          <w:bCs w:val="0"/>
          <w:sz w:val="24"/>
          <w:szCs w:val="22"/>
          <w:lang w:val="en-US" w:eastAsia="zh-CN"/>
        </w:rPr>
        <w:t>预算单位调减计划场景</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pPr>
      <w:r>
        <w:rPr>
          <w:rFonts w:hint="eastAsia" w:ascii="宋体" w:hAnsi="宋体" w:eastAsia="宋体" w:cs="宋体"/>
          <w:sz w:val="24"/>
          <w:szCs w:val="32"/>
          <w:lang w:val="en-US" w:eastAsia="zh-CN"/>
        </w:rPr>
        <w:t>预算执行对标系统支持预算单位分级录入调减计划，界面显示的额度数据</w:t>
      </w:r>
      <w:r>
        <w:rPr>
          <w:rFonts w:hint="eastAsia" w:ascii="宋体" w:hAnsi="宋体" w:eastAsia="宋体" w:cs="宋体"/>
          <w:sz w:val="24"/>
          <w:szCs w:val="32"/>
          <w:highlight w:val="yellow"/>
          <w:lang w:val="en-US" w:eastAsia="zh-CN"/>
        </w:rPr>
        <w:t>账户类型为21-单位零余额</w:t>
      </w:r>
      <w:r>
        <w:rPr>
          <w:rFonts w:hint="eastAsia" w:ascii="宋体" w:hAnsi="宋体" w:eastAsia="宋体" w:cs="宋体"/>
          <w:sz w:val="24"/>
          <w:szCs w:val="32"/>
          <w:lang w:val="en-US" w:eastAsia="zh-CN"/>
        </w:rPr>
        <w:t>，</w:t>
      </w:r>
      <w:r>
        <w:rPr>
          <w:rFonts w:hint="eastAsia" w:ascii="宋体" w:hAnsi="宋体" w:eastAsia="宋体" w:cs="宋体"/>
          <w:sz w:val="24"/>
          <w:szCs w:val="32"/>
          <w:highlight w:val="yellow"/>
          <w:lang w:val="en-US" w:eastAsia="zh-CN"/>
        </w:rPr>
        <w:t>支付方式为1-国库集中支付</w:t>
      </w:r>
      <w:r>
        <w:rPr>
          <w:rFonts w:hint="eastAsia" w:ascii="宋体" w:hAnsi="宋体" w:eastAsia="宋体" w:cs="宋体"/>
          <w:sz w:val="24"/>
          <w:szCs w:val="32"/>
          <w:lang w:val="en-US" w:eastAsia="zh-CN"/>
        </w:rPr>
        <w:t>，</w:t>
      </w:r>
      <w:r>
        <w:rPr>
          <w:rFonts w:hint="eastAsia" w:ascii="宋体" w:hAnsi="宋体" w:eastAsia="宋体" w:cs="宋体"/>
          <w:sz w:val="24"/>
          <w:szCs w:val="32"/>
          <w:highlight w:val="yellow"/>
          <w:lang w:val="en-US" w:eastAsia="zh-CN"/>
        </w:rPr>
        <w:t>资金性质为1开头的政府预算资金。</w:t>
      </w:r>
    </w:p>
    <w:p>
      <w:pPr>
        <w:keepNext w:val="0"/>
        <w:keepLines w:val="0"/>
        <w:pageBreakBefore w:val="0"/>
        <w:widowControl w:val="0"/>
        <w:numPr>
          <w:ilvl w:val="0"/>
          <w:numId w:val="7"/>
        </w:numPr>
        <w:kinsoku/>
        <w:wordWrap/>
        <w:overflowPunct/>
        <w:topLinePunct w:val="0"/>
        <w:autoSpaceDE/>
        <w:autoSpaceDN/>
        <w:bidi w:val="0"/>
        <w:adjustRightInd/>
        <w:snapToGrid/>
        <w:spacing w:line="360" w:lineRule="auto"/>
        <w:ind w:left="425" w:leftChars="0" w:hanging="425" w:firstLineChars="0"/>
        <w:textAlignment w:val="auto"/>
        <w:rPr>
          <w:rFonts w:hint="eastAsia" w:ascii="宋体" w:hAnsi="宋体" w:eastAsia="宋体" w:cs="宋体"/>
          <w:sz w:val="24"/>
          <w:szCs w:val="32"/>
          <w:lang w:val="en-US" w:eastAsia="zh-CN"/>
        </w:rPr>
      </w:pPr>
      <w:r>
        <w:rPr>
          <w:rFonts w:hint="eastAsia" w:ascii="宋体" w:hAnsi="宋体" w:eastAsia="宋体" w:cs="宋体"/>
          <w:sz w:val="24"/>
          <w:szCs w:val="32"/>
          <w:lang w:val="en-US" w:eastAsia="zh-CN"/>
        </w:rPr>
        <w:t>预算单位录入调减计划，一级、二级、三级、四级预算单位录入调减计划界面一致。</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eastAsiaTheme="minorEastAsia"/>
          <w:lang w:eastAsia="zh-CN"/>
        </w:rPr>
      </w:pPr>
      <w:r>
        <w:drawing>
          <wp:inline distT="0" distB="0" distL="114300" distR="114300">
            <wp:extent cx="5274310" cy="3478530"/>
            <wp:effectExtent l="0" t="0" r="2540" b="7620"/>
            <wp:docPr id="42"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30"/>
                    <pic:cNvPicPr>
                      <a:picLocks noChangeAspect="1"/>
                    </pic:cNvPicPr>
                  </pic:nvPicPr>
                  <pic:blipFill>
                    <a:blip r:embed="rId14"/>
                    <a:stretch>
                      <a:fillRect/>
                    </a:stretch>
                  </pic:blipFill>
                  <pic:spPr>
                    <a:xfrm>
                      <a:off x="0" y="0"/>
                      <a:ext cx="5274310" cy="3478530"/>
                    </a:xfrm>
                    <a:prstGeom prst="rect">
                      <a:avLst/>
                    </a:prstGeom>
                    <a:noFill/>
                    <a:ln>
                      <a:noFill/>
                    </a:ln>
                  </pic:spPr>
                </pic:pic>
              </a:graphicData>
            </a:graphic>
          </wp:inline>
        </w:drawing>
      </w:r>
    </w:p>
    <w:p>
      <w:pPr>
        <w:keepNext w:val="0"/>
        <w:keepLines w:val="0"/>
        <w:pageBreakBefore w:val="0"/>
        <w:widowControl w:val="0"/>
        <w:numPr>
          <w:ilvl w:val="0"/>
          <w:numId w:val="7"/>
        </w:numPr>
        <w:kinsoku/>
        <w:wordWrap/>
        <w:overflowPunct/>
        <w:topLinePunct w:val="0"/>
        <w:autoSpaceDE/>
        <w:autoSpaceDN/>
        <w:bidi w:val="0"/>
        <w:adjustRightInd/>
        <w:snapToGrid/>
        <w:spacing w:line="360" w:lineRule="auto"/>
        <w:ind w:left="425" w:leftChars="0" w:hanging="425" w:firstLineChars="0"/>
        <w:textAlignment w:val="auto"/>
        <w:rPr>
          <w:rFonts w:hint="eastAsia"/>
          <w:lang w:val="en-US" w:eastAsia="zh-CN"/>
        </w:rPr>
      </w:pPr>
      <w:r>
        <w:rPr>
          <w:rFonts w:hint="eastAsia" w:ascii="宋体" w:hAnsi="宋体" w:eastAsia="宋体" w:cs="宋体"/>
          <w:sz w:val="24"/>
          <w:szCs w:val="32"/>
          <w:lang w:val="en-US" w:eastAsia="zh-CN"/>
        </w:rPr>
        <w:t>保存后，进入用款计划送审，审核，批复流程。预算单位录入调减计划需逐级审核。如四级预算单位录入的调减计划，四级单位审核通过后，三级预算单位审核，审核通过后，二级预算单位审核，审核通过后，主管部门审核。</w:t>
      </w:r>
    </w:p>
    <w:p>
      <w:pPr>
        <w:pStyle w:val="5"/>
        <w:bidi w:val="0"/>
        <w:ind w:left="864" w:hanging="864"/>
        <w:rPr>
          <w:rFonts w:hint="default"/>
          <w:lang w:val="en-US" w:eastAsia="zh-CN"/>
        </w:rPr>
      </w:pPr>
      <w:commentRangeStart w:id="0"/>
      <w:r>
        <w:rPr>
          <w:rFonts w:hint="eastAsia" w:ascii="仿宋" w:hAnsi="仿宋" w:eastAsia="仿宋" w:cs="仿宋"/>
          <w:b/>
          <w:bCs w:val="0"/>
          <w:sz w:val="24"/>
          <w:szCs w:val="22"/>
          <w:lang w:val="en-US" w:eastAsia="zh-CN"/>
        </w:rPr>
        <w:t>财政代编调减计划批量录入场景</w:t>
      </w:r>
      <w:commentRangeEnd w:id="0"/>
      <w:r>
        <w:commentReference w:id="0"/>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pPr>
      <w:r>
        <w:rPr>
          <w:rFonts w:hint="eastAsia" w:ascii="宋体" w:hAnsi="宋体" w:eastAsia="宋体" w:cs="宋体"/>
          <w:sz w:val="24"/>
          <w:szCs w:val="32"/>
          <w:lang w:val="en-US" w:eastAsia="zh-CN"/>
        </w:rPr>
        <w:t>预算执行对标系统支持财政代编调减计划批量录入，界面显示的额度数据</w:t>
      </w:r>
      <w:r>
        <w:rPr>
          <w:rFonts w:hint="eastAsia" w:ascii="宋体" w:hAnsi="宋体" w:eastAsia="宋体" w:cs="宋体"/>
          <w:sz w:val="24"/>
          <w:szCs w:val="32"/>
          <w:highlight w:val="yellow"/>
          <w:lang w:val="en-US" w:eastAsia="zh-CN"/>
        </w:rPr>
        <w:t>账户类型为21-单位零余额</w:t>
      </w:r>
      <w:r>
        <w:rPr>
          <w:rFonts w:hint="eastAsia" w:ascii="宋体" w:hAnsi="宋体" w:eastAsia="宋体" w:cs="宋体"/>
          <w:sz w:val="24"/>
          <w:szCs w:val="32"/>
          <w:lang w:val="en-US" w:eastAsia="zh-CN"/>
        </w:rPr>
        <w:t>，</w:t>
      </w:r>
      <w:r>
        <w:rPr>
          <w:rFonts w:hint="eastAsia" w:ascii="宋体" w:hAnsi="宋体" w:eastAsia="宋体" w:cs="宋体"/>
          <w:sz w:val="24"/>
          <w:szCs w:val="32"/>
          <w:highlight w:val="yellow"/>
          <w:lang w:val="en-US" w:eastAsia="zh-CN"/>
        </w:rPr>
        <w:t>支付方式为1-国库集中支付</w:t>
      </w:r>
      <w:r>
        <w:rPr>
          <w:rFonts w:hint="eastAsia" w:ascii="宋体" w:hAnsi="宋体" w:eastAsia="宋体" w:cs="宋体"/>
          <w:sz w:val="24"/>
          <w:szCs w:val="32"/>
          <w:lang w:val="en-US" w:eastAsia="zh-CN"/>
        </w:rPr>
        <w:t>，</w:t>
      </w:r>
      <w:r>
        <w:rPr>
          <w:rFonts w:hint="eastAsia" w:ascii="宋体" w:hAnsi="宋体" w:eastAsia="宋体" w:cs="宋体"/>
          <w:sz w:val="24"/>
          <w:szCs w:val="32"/>
          <w:highlight w:val="yellow"/>
          <w:lang w:val="en-US" w:eastAsia="zh-CN"/>
        </w:rPr>
        <w:t>资金性质为1开头的政府预算资金。</w:t>
      </w:r>
    </w:p>
    <w:p>
      <w:pPr>
        <w:keepNext w:val="0"/>
        <w:keepLines w:val="0"/>
        <w:pageBreakBefore w:val="0"/>
        <w:widowControl w:val="0"/>
        <w:numPr>
          <w:ilvl w:val="0"/>
          <w:numId w:val="8"/>
        </w:numPr>
        <w:kinsoku/>
        <w:wordWrap/>
        <w:overflowPunct/>
        <w:topLinePunct w:val="0"/>
        <w:autoSpaceDE/>
        <w:autoSpaceDN/>
        <w:bidi w:val="0"/>
        <w:adjustRightInd/>
        <w:snapToGrid/>
        <w:spacing w:line="360" w:lineRule="auto"/>
        <w:ind w:left="425" w:leftChars="0" w:hanging="425" w:firstLineChars="0"/>
        <w:textAlignment w:val="auto"/>
        <w:rPr>
          <w:rFonts w:hint="default" w:ascii="宋体" w:hAnsi="宋体" w:eastAsia="宋体" w:cs="宋体"/>
          <w:sz w:val="24"/>
          <w:szCs w:val="32"/>
          <w:lang w:val="en-US" w:eastAsia="zh-CN"/>
        </w:rPr>
      </w:pPr>
      <w:r>
        <w:rPr>
          <w:rFonts w:hint="eastAsia" w:ascii="宋体" w:hAnsi="宋体" w:eastAsia="宋体" w:cs="宋体"/>
          <w:sz w:val="24"/>
          <w:szCs w:val="32"/>
          <w:lang w:val="en-US" w:eastAsia="zh-CN"/>
        </w:rPr>
        <w:t>财政代编调减计划批量录入界面。可按照“计划金额和剩余额度”百分比录入。</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宋体" w:hAnsi="宋体" w:eastAsia="宋体" w:cs="宋体"/>
          <w:sz w:val="24"/>
          <w:szCs w:val="32"/>
          <w:lang w:val="en-US" w:eastAsia="zh-CN"/>
        </w:rPr>
      </w:pPr>
      <w:r>
        <w:drawing>
          <wp:inline distT="0" distB="0" distL="114300" distR="114300">
            <wp:extent cx="5269230" cy="2411095"/>
            <wp:effectExtent l="0" t="0" r="7620" b="8255"/>
            <wp:docPr id="40"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29"/>
                    <pic:cNvPicPr>
                      <a:picLocks noChangeAspect="1"/>
                    </pic:cNvPicPr>
                  </pic:nvPicPr>
                  <pic:blipFill>
                    <a:blip r:embed="rId15"/>
                    <a:stretch>
                      <a:fillRect/>
                    </a:stretch>
                  </pic:blipFill>
                  <pic:spPr>
                    <a:xfrm>
                      <a:off x="0" y="0"/>
                      <a:ext cx="5269230" cy="2411095"/>
                    </a:xfrm>
                    <a:prstGeom prst="rect">
                      <a:avLst/>
                    </a:prstGeom>
                    <a:noFill/>
                    <a:ln>
                      <a:noFill/>
                    </a:ln>
                  </pic:spPr>
                </pic:pic>
              </a:graphicData>
            </a:graphic>
          </wp:inline>
        </w:drawing>
      </w:r>
    </w:p>
    <w:p>
      <w:pPr>
        <w:keepNext w:val="0"/>
        <w:keepLines w:val="0"/>
        <w:pageBreakBefore w:val="0"/>
        <w:widowControl w:val="0"/>
        <w:numPr>
          <w:ilvl w:val="0"/>
          <w:numId w:val="8"/>
        </w:numPr>
        <w:kinsoku/>
        <w:wordWrap/>
        <w:overflowPunct/>
        <w:topLinePunct w:val="0"/>
        <w:autoSpaceDE/>
        <w:autoSpaceDN/>
        <w:bidi w:val="0"/>
        <w:adjustRightInd/>
        <w:snapToGrid/>
        <w:spacing w:line="360" w:lineRule="auto"/>
        <w:ind w:left="425" w:leftChars="0" w:hanging="425" w:firstLineChars="0"/>
        <w:textAlignment w:val="auto"/>
        <w:rPr>
          <w:rFonts w:hint="eastAsia" w:ascii="宋体" w:hAnsi="宋体" w:eastAsia="宋体" w:cs="宋体"/>
          <w:sz w:val="24"/>
          <w:szCs w:val="32"/>
          <w:lang w:val="en-US" w:eastAsia="zh-CN"/>
        </w:rPr>
      </w:pPr>
      <w:r>
        <w:rPr>
          <w:rFonts w:hint="eastAsia" w:ascii="宋体" w:hAnsi="宋体" w:eastAsia="宋体" w:cs="宋体"/>
          <w:sz w:val="24"/>
          <w:szCs w:val="32"/>
          <w:lang w:val="en-US" w:eastAsia="zh-CN"/>
        </w:rPr>
        <w:t>保存后，进入用款计划送审，审核，批复流程。</w:t>
      </w:r>
    </w:p>
    <w:p>
      <w:pPr>
        <w:pStyle w:val="4"/>
        <w:bidi w:val="0"/>
        <w:ind w:left="720" w:hanging="720"/>
        <w:rPr>
          <w:rFonts w:hint="eastAsia" w:ascii="黑体" w:hAnsi="黑体" w:eastAsia="黑体" w:cs="黑体"/>
          <w:b w:val="0"/>
          <w:bCs/>
          <w:sz w:val="28"/>
          <w:szCs w:val="22"/>
          <w:lang w:val="en-US" w:eastAsia="zh-CN"/>
        </w:rPr>
      </w:pPr>
      <w:r>
        <w:rPr>
          <w:rFonts w:hint="eastAsia" w:ascii="黑体" w:hAnsi="黑体" w:eastAsia="黑体" w:cs="黑体"/>
          <w:b w:val="0"/>
          <w:bCs/>
          <w:sz w:val="28"/>
          <w:szCs w:val="22"/>
          <w:lang w:val="en-US" w:eastAsia="zh-CN"/>
        </w:rPr>
        <w:t>资金支付业务</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sz w:val="24"/>
          <w:szCs w:val="32"/>
          <w:lang w:val="en-US" w:eastAsia="zh-CN"/>
        </w:rPr>
      </w:pPr>
      <w:r>
        <w:rPr>
          <w:rFonts w:hint="eastAsia" w:ascii="宋体" w:hAnsi="宋体" w:eastAsia="宋体" w:cs="宋体"/>
          <w:sz w:val="24"/>
          <w:szCs w:val="32"/>
          <w:lang w:val="en-US" w:eastAsia="zh-CN"/>
        </w:rPr>
        <w:t>政府预算资金支付通过“指标账和计划额度”双控模式控制资金支付，即可用金额取“预算指标可用金额和计划额度可用金额两者较小值”。所以政府预算资金支付的前提，需要有预算指标和计划额度，缺一不可。</w:t>
      </w:r>
    </w:p>
    <w:p>
      <w:pPr>
        <w:pStyle w:val="5"/>
        <w:bidi w:val="0"/>
        <w:ind w:left="864" w:hanging="864"/>
        <w:rPr>
          <w:rFonts w:hint="eastAsia" w:ascii="仿宋" w:hAnsi="仿宋" w:eastAsia="仿宋" w:cs="仿宋"/>
          <w:b/>
          <w:bCs w:val="0"/>
          <w:sz w:val="24"/>
          <w:szCs w:val="22"/>
          <w:lang w:val="en-US" w:eastAsia="zh-CN"/>
        </w:rPr>
      </w:pPr>
      <w:r>
        <w:rPr>
          <w:rFonts w:hint="eastAsia" w:ascii="仿宋" w:hAnsi="仿宋" w:eastAsia="仿宋" w:cs="仿宋"/>
          <w:b/>
          <w:bCs w:val="0"/>
          <w:sz w:val="24"/>
          <w:szCs w:val="22"/>
          <w:lang w:val="en-US" w:eastAsia="zh-CN"/>
        </w:rPr>
        <w:t>预算单位录入国库集中支付申请场景</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32"/>
          <w:highlight w:val="yellow"/>
          <w:lang w:val="en-US" w:eastAsia="zh-CN"/>
        </w:rPr>
      </w:pPr>
      <w:r>
        <w:rPr>
          <w:rFonts w:hint="eastAsia" w:ascii="宋体" w:hAnsi="宋体" w:eastAsia="宋体" w:cs="宋体"/>
          <w:sz w:val="24"/>
          <w:szCs w:val="32"/>
          <w:lang w:val="en-US" w:eastAsia="zh-CN"/>
        </w:rPr>
        <w:t>预算执行对标系统支持预算单位录入国库集中支付申请，实现电子化资金支付。界面显示的额度数据</w:t>
      </w:r>
      <w:r>
        <w:rPr>
          <w:rFonts w:hint="eastAsia" w:ascii="宋体" w:hAnsi="宋体" w:eastAsia="宋体" w:cs="宋体"/>
          <w:sz w:val="24"/>
          <w:szCs w:val="32"/>
          <w:highlight w:val="yellow"/>
          <w:lang w:val="en-US" w:eastAsia="zh-CN"/>
        </w:rPr>
        <w:t>账户类型为21-单位零余额</w:t>
      </w:r>
      <w:r>
        <w:rPr>
          <w:rFonts w:hint="eastAsia" w:ascii="宋体" w:hAnsi="宋体" w:eastAsia="宋体" w:cs="宋体"/>
          <w:sz w:val="24"/>
          <w:szCs w:val="32"/>
          <w:lang w:val="en-US" w:eastAsia="zh-CN"/>
        </w:rPr>
        <w:t>，</w:t>
      </w:r>
      <w:r>
        <w:rPr>
          <w:rFonts w:hint="eastAsia" w:ascii="宋体" w:hAnsi="宋体" w:eastAsia="宋体" w:cs="宋体"/>
          <w:sz w:val="24"/>
          <w:szCs w:val="32"/>
          <w:highlight w:val="yellow"/>
          <w:lang w:val="en-US" w:eastAsia="zh-CN"/>
        </w:rPr>
        <w:t>支付方式为1-国库集中支付</w:t>
      </w:r>
      <w:r>
        <w:rPr>
          <w:rFonts w:hint="eastAsia" w:ascii="宋体" w:hAnsi="宋体" w:eastAsia="宋体" w:cs="宋体"/>
          <w:sz w:val="24"/>
          <w:szCs w:val="32"/>
          <w:lang w:val="en-US" w:eastAsia="zh-CN"/>
        </w:rPr>
        <w:t>，</w:t>
      </w:r>
      <w:r>
        <w:rPr>
          <w:rFonts w:hint="eastAsia" w:ascii="宋体" w:hAnsi="宋体" w:eastAsia="宋体" w:cs="宋体"/>
          <w:sz w:val="24"/>
          <w:szCs w:val="32"/>
          <w:highlight w:val="yellow"/>
          <w:lang w:val="en-US" w:eastAsia="zh-CN"/>
        </w:rPr>
        <w:t>资金性质为1开头的政府预算资金。</w:t>
      </w:r>
    </w:p>
    <w:p>
      <w:pPr>
        <w:keepNext w:val="0"/>
        <w:keepLines w:val="0"/>
        <w:pageBreakBefore w:val="0"/>
        <w:widowControl w:val="0"/>
        <w:numPr>
          <w:ilvl w:val="0"/>
          <w:numId w:val="9"/>
        </w:numPr>
        <w:kinsoku/>
        <w:wordWrap/>
        <w:overflowPunct/>
        <w:topLinePunct w:val="0"/>
        <w:autoSpaceDE/>
        <w:autoSpaceDN/>
        <w:bidi w:val="0"/>
        <w:adjustRightInd/>
        <w:snapToGrid/>
        <w:spacing w:line="360" w:lineRule="auto"/>
        <w:ind w:left="425" w:leftChars="0" w:hanging="425" w:firstLineChars="0"/>
        <w:textAlignment w:val="auto"/>
        <w:rPr>
          <w:rFonts w:hint="default" w:ascii="宋体" w:hAnsi="宋体" w:eastAsia="宋体" w:cs="宋体"/>
          <w:sz w:val="24"/>
          <w:szCs w:val="32"/>
          <w:lang w:val="en-US" w:eastAsia="zh-CN"/>
        </w:rPr>
      </w:pPr>
      <w:r>
        <w:rPr>
          <w:rFonts w:hint="eastAsia" w:ascii="宋体" w:hAnsi="宋体" w:eastAsia="宋体" w:cs="宋体"/>
          <w:sz w:val="24"/>
          <w:szCs w:val="32"/>
          <w:lang w:val="en-US" w:eastAsia="zh-CN"/>
        </w:rPr>
        <w:t>通过指标额度的标识信息，判断所属业务。</w:t>
      </w:r>
      <w:r>
        <w:rPr>
          <w:rFonts w:hint="eastAsia" w:ascii="宋体" w:hAnsi="宋体" w:eastAsia="宋体" w:cs="宋体"/>
          <w:sz w:val="24"/>
          <w:szCs w:val="32"/>
          <w:highlight w:val="lightGray"/>
          <w:lang w:val="en-US" w:eastAsia="zh-CN"/>
        </w:rPr>
        <w:t>业务包含普通支付、政府采购、三公经费、工会经费、工资发放</w:t>
      </w:r>
      <w:r>
        <w:rPr>
          <w:rFonts w:hint="eastAsia" w:ascii="宋体" w:hAnsi="宋体" w:eastAsia="宋体" w:cs="宋体"/>
          <w:sz w:val="24"/>
          <w:szCs w:val="32"/>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default" w:ascii="宋体" w:hAnsi="宋体" w:eastAsia="宋体" w:cs="宋体"/>
          <w:sz w:val="24"/>
          <w:szCs w:val="32"/>
          <w:lang w:val="en-US" w:eastAsia="zh-CN"/>
        </w:rPr>
      </w:pPr>
      <w:r>
        <w:drawing>
          <wp:inline distT="0" distB="0" distL="114300" distR="114300">
            <wp:extent cx="5269230" cy="2411095"/>
            <wp:effectExtent l="0" t="0" r="7620" b="8255"/>
            <wp:docPr id="1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
                    <pic:cNvPicPr>
                      <a:picLocks noChangeAspect="1"/>
                    </pic:cNvPicPr>
                  </pic:nvPicPr>
                  <pic:blipFill>
                    <a:blip r:embed="rId16"/>
                    <a:stretch>
                      <a:fillRect/>
                    </a:stretch>
                  </pic:blipFill>
                  <pic:spPr>
                    <a:xfrm>
                      <a:off x="0" y="0"/>
                      <a:ext cx="5269230" cy="2411095"/>
                    </a:xfrm>
                    <a:prstGeom prst="rect">
                      <a:avLst/>
                    </a:prstGeom>
                    <a:noFill/>
                    <a:ln>
                      <a:noFill/>
                    </a:ln>
                  </pic:spPr>
                </pic:pic>
              </a:graphicData>
            </a:graphic>
          </wp:inline>
        </w:drawing>
      </w:r>
    </w:p>
    <w:p>
      <w:pPr>
        <w:keepNext w:val="0"/>
        <w:keepLines w:val="0"/>
        <w:pageBreakBefore w:val="0"/>
        <w:widowControl w:val="0"/>
        <w:numPr>
          <w:ilvl w:val="0"/>
          <w:numId w:val="9"/>
        </w:numPr>
        <w:kinsoku/>
        <w:wordWrap/>
        <w:overflowPunct/>
        <w:topLinePunct w:val="0"/>
        <w:autoSpaceDE/>
        <w:autoSpaceDN/>
        <w:bidi w:val="0"/>
        <w:adjustRightInd/>
        <w:snapToGrid/>
        <w:spacing w:line="360" w:lineRule="auto"/>
        <w:ind w:left="425" w:leftChars="0" w:hanging="425" w:firstLineChars="0"/>
        <w:textAlignment w:val="auto"/>
        <w:rPr>
          <w:rFonts w:hint="default" w:ascii="宋体" w:hAnsi="宋体" w:eastAsia="宋体" w:cs="宋体"/>
          <w:sz w:val="24"/>
          <w:szCs w:val="32"/>
          <w:lang w:val="en-US" w:eastAsia="zh-CN"/>
        </w:rPr>
      </w:pPr>
      <w:r>
        <w:rPr>
          <w:rFonts w:hint="eastAsia" w:ascii="宋体" w:hAnsi="宋体" w:eastAsia="宋体" w:cs="宋体"/>
          <w:sz w:val="24"/>
          <w:szCs w:val="32"/>
          <w:lang w:val="en-US" w:eastAsia="zh-CN"/>
        </w:rPr>
        <w:t>预算单位录入国库集中支付申请界面。</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pPr>
      <w:r>
        <w:drawing>
          <wp:inline distT="0" distB="0" distL="114300" distR="114300">
            <wp:extent cx="5269230" cy="2411095"/>
            <wp:effectExtent l="0" t="0" r="7620" b="8255"/>
            <wp:docPr id="1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8"/>
                    <pic:cNvPicPr>
                      <a:picLocks noChangeAspect="1"/>
                    </pic:cNvPicPr>
                  </pic:nvPicPr>
                  <pic:blipFill>
                    <a:blip r:embed="rId17"/>
                    <a:stretch>
                      <a:fillRect/>
                    </a:stretch>
                  </pic:blipFill>
                  <pic:spPr>
                    <a:xfrm>
                      <a:off x="0" y="0"/>
                      <a:ext cx="5269230" cy="2411095"/>
                    </a:xfrm>
                    <a:prstGeom prst="rect">
                      <a:avLst/>
                    </a:prstGeom>
                    <a:noFill/>
                    <a:ln>
                      <a:noFill/>
                    </a:ln>
                  </pic:spPr>
                </pic:pic>
              </a:graphicData>
            </a:graphic>
          </wp:inline>
        </w:drawing>
      </w:r>
    </w:p>
    <w:p>
      <w:pPr>
        <w:keepNext w:val="0"/>
        <w:keepLines w:val="0"/>
        <w:pageBreakBefore w:val="0"/>
        <w:widowControl w:val="0"/>
        <w:numPr>
          <w:ilvl w:val="0"/>
          <w:numId w:val="9"/>
        </w:numPr>
        <w:kinsoku/>
        <w:wordWrap/>
        <w:overflowPunct/>
        <w:topLinePunct w:val="0"/>
        <w:autoSpaceDE/>
        <w:autoSpaceDN/>
        <w:bidi w:val="0"/>
        <w:adjustRightInd/>
        <w:snapToGrid/>
        <w:spacing w:line="360" w:lineRule="auto"/>
        <w:ind w:left="425" w:leftChars="0" w:hanging="425" w:firstLineChars="0"/>
        <w:textAlignment w:val="auto"/>
        <w:rPr>
          <w:rFonts w:hint="default" w:ascii="宋体" w:hAnsi="宋体" w:eastAsia="宋体" w:cs="宋体"/>
          <w:sz w:val="24"/>
          <w:szCs w:val="32"/>
          <w:lang w:val="en-US" w:eastAsia="zh-CN"/>
        </w:rPr>
      </w:pPr>
      <w:r>
        <w:rPr>
          <w:rFonts w:hint="eastAsia" w:ascii="宋体" w:hAnsi="宋体" w:eastAsia="宋体" w:cs="宋体"/>
          <w:sz w:val="24"/>
          <w:szCs w:val="32"/>
          <w:lang w:val="en-US" w:eastAsia="zh-CN"/>
        </w:rPr>
        <w:t>根据指标额度标识判断支付申请录入页签，示例工资额度调用工资支付申请录入页签。</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default" w:ascii="宋体" w:hAnsi="宋体" w:eastAsia="宋体" w:cs="宋体"/>
          <w:sz w:val="24"/>
          <w:szCs w:val="32"/>
          <w:lang w:val="en-US" w:eastAsia="zh-CN"/>
        </w:rPr>
      </w:pPr>
      <w:r>
        <w:drawing>
          <wp:inline distT="0" distB="0" distL="114300" distR="114300">
            <wp:extent cx="5269230" cy="2411095"/>
            <wp:effectExtent l="0" t="0" r="7620" b="8255"/>
            <wp:docPr id="1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9"/>
                    <pic:cNvPicPr>
                      <a:picLocks noChangeAspect="1"/>
                    </pic:cNvPicPr>
                  </pic:nvPicPr>
                  <pic:blipFill>
                    <a:blip r:embed="rId18"/>
                    <a:stretch>
                      <a:fillRect/>
                    </a:stretch>
                  </pic:blipFill>
                  <pic:spPr>
                    <a:xfrm>
                      <a:off x="0" y="0"/>
                      <a:ext cx="5269230" cy="2411095"/>
                    </a:xfrm>
                    <a:prstGeom prst="rect">
                      <a:avLst/>
                    </a:prstGeom>
                    <a:noFill/>
                    <a:ln>
                      <a:noFill/>
                    </a:ln>
                  </pic:spPr>
                </pic:pic>
              </a:graphicData>
            </a:graphic>
          </wp:inline>
        </w:drawing>
      </w:r>
    </w:p>
    <w:p>
      <w:pPr>
        <w:keepNext w:val="0"/>
        <w:keepLines w:val="0"/>
        <w:pageBreakBefore w:val="0"/>
        <w:widowControl w:val="0"/>
        <w:numPr>
          <w:ilvl w:val="0"/>
          <w:numId w:val="9"/>
        </w:numPr>
        <w:kinsoku/>
        <w:wordWrap/>
        <w:overflowPunct/>
        <w:topLinePunct w:val="0"/>
        <w:autoSpaceDE/>
        <w:autoSpaceDN/>
        <w:bidi w:val="0"/>
        <w:adjustRightInd/>
        <w:snapToGrid/>
        <w:spacing w:line="360" w:lineRule="auto"/>
        <w:ind w:left="425" w:leftChars="0" w:hanging="425" w:firstLineChars="0"/>
        <w:textAlignment w:val="auto"/>
        <w:rPr>
          <w:rFonts w:hint="default" w:ascii="宋体" w:hAnsi="宋体" w:eastAsia="宋体" w:cs="宋体"/>
          <w:sz w:val="24"/>
          <w:szCs w:val="32"/>
          <w:lang w:val="en-US" w:eastAsia="zh-CN"/>
        </w:rPr>
      </w:pPr>
      <w:r>
        <w:rPr>
          <w:rFonts w:hint="eastAsia" w:ascii="宋体" w:hAnsi="宋体" w:eastAsia="宋体" w:cs="宋体"/>
          <w:sz w:val="24"/>
          <w:szCs w:val="32"/>
          <w:lang w:val="en-US" w:eastAsia="zh-CN"/>
        </w:rPr>
        <w:t>保存完成后，进入送审、审核、签章、发送流程。</w:t>
      </w:r>
    </w:p>
    <w:p>
      <w:pPr>
        <w:pStyle w:val="5"/>
        <w:bidi w:val="0"/>
        <w:ind w:left="864" w:hanging="864"/>
        <w:rPr>
          <w:rFonts w:hint="eastAsia" w:ascii="仿宋" w:hAnsi="仿宋" w:eastAsia="仿宋" w:cs="仿宋"/>
          <w:b/>
          <w:bCs w:val="0"/>
          <w:sz w:val="24"/>
          <w:szCs w:val="22"/>
          <w:lang w:val="en-US" w:eastAsia="zh-CN"/>
        </w:rPr>
      </w:pPr>
      <w:r>
        <w:rPr>
          <w:rFonts w:hint="eastAsia" w:ascii="仿宋" w:hAnsi="仿宋" w:eastAsia="仿宋" w:cs="仿宋"/>
          <w:b/>
          <w:bCs w:val="0"/>
          <w:sz w:val="24"/>
          <w:szCs w:val="22"/>
          <w:lang w:val="en-US" w:eastAsia="zh-CN"/>
        </w:rPr>
        <w:t>财政代编国库集中支付申请场景</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32"/>
          <w:highlight w:val="yellow"/>
          <w:lang w:val="en-US" w:eastAsia="zh-CN"/>
        </w:rPr>
      </w:pPr>
      <w:r>
        <w:rPr>
          <w:rFonts w:hint="eastAsia" w:ascii="宋体" w:hAnsi="宋体" w:eastAsia="宋体" w:cs="宋体"/>
          <w:sz w:val="24"/>
          <w:szCs w:val="32"/>
          <w:lang w:val="en-US" w:eastAsia="zh-CN"/>
        </w:rPr>
        <w:t>预算执行对标系统支持财政代编国库集中支付申请，实现电子化资金支付。界面显示的额度数据</w:t>
      </w:r>
      <w:r>
        <w:rPr>
          <w:rFonts w:hint="eastAsia" w:ascii="宋体" w:hAnsi="宋体" w:eastAsia="宋体" w:cs="宋体"/>
          <w:sz w:val="24"/>
          <w:szCs w:val="32"/>
          <w:highlight w:val="yellow"/>
          <w:lang w:val="en-US" w:eastAsia="zh-CN"/>
        </w:rPr>
        <w:t>账户类型为22-财政零余额</w:t>
      </w:r>
      <w:r>
        <w:rPr>
          <w:rFonts w:hint="eastAsia" w:ascii="宋体" w:hAnsi="宋体" w:eastAsia="宋体" w:cs="宋体"/>
          <w:sz w:val="24"/>
          <w:szCs w:val="32"/>
          <w:lang w:val="en-US" w:eastAsia="zh-CN"/>
        </w:rPr>
        <w:t>，</w:t>
      </w:r>
      <w:r>
        <w:rPr>
          <w:rFonts w:hint="eastAsia" w:ascii="宋体" w:hAnsi="宋体" w:eastAsia="宋体" w:cs="宋体"/>
          <w:sz w:val="24"/>
          <w:szCs w:val="32"/>
          <w:highlight w:val="yellow"/>
          <w:lang w:val="en-US" w:eastAsia="zh-CN"/>
        </w:rPr>
        <w:t>支付方式为1-国库集中支付</w:t>
      </w:r>
      <w:r>
        <w:rPr>
          <w:rFonts w:hint="eastAsia" w:ascii="宋体" w:hAnsi="宋体" w:eastAsia="宋体" w:cs="宋体"/>
          <w:sz w:val="24"/>
          <w:szCs w:val="32"/>
          <w:lang w:val="en-US" w:eastAsia="zh-CN"/>
        </w:rPr>
        <w:t>，</w:t>
      </w:r>
      <w:r>
        <w:rPr>
          <w:rFonts w:hint="eastAsia" w:ascii="宋体" w:hAnsi="宋体" w:eastAsia="宋体" w:cs="宋体"/>
          <w:sz w:val="24"/>
          <w:szCs w:val="32"/>
          <w:highlight w:val="yellow"/>
          <w:lang w:val="en-US" w:eastAsia="zh-CN"/>
        </w:rPr>
        <w:t>资金性质为1开头的政府预算资金。</w:t>
      </w:r>
    </w:p>
    <w:p>
      <w:pPr>
        <w:keepNext w:val="0"/>
        <w:keepLines w:val="0"/>
        <w:pageBreakBefore w:val="0"/>
        <w:widowControl w:val="0"/>
        <w:numPr>
          <w:ilvl w:val="0"/>
          <w:numId w:val="10"/>
        </w:numPr>
        <w:kinsoku/>
        <w:wordWrap/>
        <w:overflowPunct/>
        <w:topLinePunct w:val="0"/>
        <w:autoSpaceDE/>
        <w:autoSpaceDN/>
        <w:bidi w:val="0"/>
        <w:adjustRightInd/>
        <w:snapToGrid/>
        <w:spacing w:line="360" w:lineRule="auto"/>
        <w:ind w:left="425" w:leftChars="0" w:hanging="425" w:firstLineChars="0"/>
        <w:textAlignment w:val="auto"/>
        <w:rPr>
          <w:rFonts w:hint="default" w:ascii="宋体" w:hAnsi="宋体" w:eastAsia="宋体" w:cs="宋体"/>
          <w:sz w:val="24"/>
          <w:szCs w:val="32"/>
          <w:lang w:val="en-US" w:eastAsia="zh-CN"/>
        </w:rPr>
      </w:pPr>
      <w:r>
        <w:rPr>
          <w:rFonts w:hint="eastAsia" w:ascii="宋体" w:hAnsi="宋体" w:eastAsia="宋体" w:cs="宋体"/>
          <w:sz w:val="24"/>
          <w:szCs w:val="32"/>
          <w:lang w:val="en-US" w:eastAsia="zh-CN"/>
        </w:rPr>
        <w:t>通过指标额度的标识信息，判断所属业务。业务包含</w:t>
      </w:r>
      <w:r>
        <w:rPr>
          <w:rFonts w:hint="eastAsia" w:ascii="宋体" w:hAnsi="宋体" w:eastAsia="宋体" w:cs="宋体"/>
          <w:sz w:val="24"/>
          <w:szCs w:val="32"/>
          <w:highlight w:val="lightGray"/>
          <w:lang w:val="en-US" w:eastAsia="zh-CN"/>
        </w:rPr>
        <w:t>普通支付、政府采购、工资发放</w:t>
      </w:r>
      <w:r>
        <w:rPr>
          <w:rFonts w:hint="eastAsia" w:ascii="宋体" w:hAnsi="宋体" w:eastAsia="宋体" w:cs="宋体"/>
          <w:sz w:val="24"/>
          <w:szCs w:val="32"/>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default" w:ascii="宋体" w:hAnsi="宋体" w:eastAsia="宋体" w:cs="宋体"/>
          <w:sz w:val="24"/>
          <w:szCs w:val="32"/>
          <w:lang w:val="en-US" w:eastAsia="zh-CN"/>
        </w:rPr>
      </w:pPr>
      <w:r>
        <w:drawing>
          <wp:inline distT="0" distB="0" distL="114300" distR="114300">
            <wp:extent cx="5269230" cy="2411095"/>
            <wp:effectExtent l="0" t="0" r="7620" b="8255"/>
            <wp:docPr id="1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0"/>
                    <pic:cNvPicPr>
                      <a:picLocks noChangeAspect="1"/>
                    </pic:cNvPicPr>
                  </pic:nvPicPr>
                  <pic:blipFill>
                    <a:blip r:embed="rId19"/>
                    <a:stretch>
                      <a:fillRect/>
                    </a:stretch>
                  </pic:blipFill>
                  <pic:spPr>
                    <a:xfrm>
                      <a:off x="0" y="0"/>
                      <a:ext cx="5269230" cy="2411095"/>
                    </a:xfrm>
                    <a:prstGeom prst="rect">
                      <a:avLst/>
                    </a:prstGeom>
                    <a:noFill/>
                    <a:ln>
                      <a:noFill/>
                    </a:ln>
                  </pic:spPr>
                </pic:pic>
              </a:graphicData>
            </a:graphic>
          </wp:inline>
        </w:drawing>
      </w:r>
    </w:p>
    <w:p>
      <w:pPr>
        <w:keepNext w:val="0"/>
        <w:keepLines w:val="0"/>
        <w:pageBreakBefore w:val="0"/>
        <w:widowControl w:val="0"/>
        <w:numPr>
          <w:ilvl w:val="0"/>
          <w:numId w:val="10"/>
        </w:numPr>
        <w:kinsoku/>
        <w:wordWrap/>
        <w:overflowPunct/>
        <w:topLinePunct w:val="0"/>
        <w:autoSpaceDE/>
        <w:autoSpaceDN/>
        <w:bidi w:val="0"/>
        <w:adjustRightInd/>
        <w:snapToGrid/>
        <w:spacing w:line="360" w:lineRule="auto"/>
        <w:ind w:left="425" w:leftChars="0" w:hanging="425" w:firstLineChars="0"/>
        <w:textAlignment w:val="auto"/>
        <w:rPr>
          <w:rFonts w:hint="default" w:ascii="宋体" w:hAnsi="宋体" w:eastAsia="宋体" w:cs="宋体"/>
          <w:sz w:val="24"/>
          <w:szCs w:val="32"/>
          <w:lang w:val="en-US" w:eastAsia="zh-CN"/>
        </w:rPr>
      </w:pPr>
      <w:r>
        <w:rPr>
          <w:rFonts w:hint="eastAsia" w:ascii="宋体" w:hAnsi="宋体" w:eastAsia="宋体" w:cs="宋体"/>
          <w:sz w:val="24"/>
          <w:szCs w:val="32"/>
          <w:lang w:val="en-US" w:eastAsia="zh-CN"/>
        </w:rPr>
        <w:t>财政代编国库集中支付申请界面。</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pPr>
      <w:r>
        <w:drawing>
          <wp:inline distT="0" distB="0" distL="114300" distR="114300">
            <wp:extent cx="5262245" cy="1997710"/>
            <wp:effectExtent l="0" t="0" r="14605" b="2540"/>
            <wp:docPr id="2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1"/>
                    <pic:cNvPicPr>
                      <a:picLocks noChangeAspect="1"/>
                    </pic:cNvPicPr>
                  </pic:nvPicPr>
                  <pic:blipFill>
                    <a:blip r:embed="rId20"/>
                    <a:stretch>
                      <a:fillRect/>
                    </a:stretch>
                  </pic:blipFill>
                  <pic:spPr>
                    <a:xfrm>
                      <a:off x="0" y="0"/>
                      <a:ext cx="5262245" cy="1997710"/>
                    </a:xfrm>
                    <a:prstGeom prst="rect">
                      <a:avLst/>
                    </a:prstGeom>
                    <a:noFill/>
                    <a:ln>
                      <a:noFill/>
                    </a:ln>
                  </pic:spPr>
                </pic:pic>
              </a:graphicData>
            </a:graphic>
          </wp:inline>
        </w:drawing>
      </w:r>
    </w:p>
    <w:p>
      <w:pPr>
        <w:keepNext w:val="0"/>
        <w:keepLines w:val="0"/>
        <w:pageBreakBefore w:val="0"/>
        <w:widowControl w:val="0"/>
        <w:numPr>
          <w:ilvl w:val="0"/>
          <w:numId w:val="10"/>
        </w:numPr>
        <w:kinsoku/>
        <w:wordWrap/>
        <w:overflowPunct/>
        <w:topLinePunct w:val="0"/>
        <w:autoSpaceDE/>
        <w:autoSpaceDN/>
        <w:bidi w:val="0"/>
        <w:adjustRightInd/>
        <w:snapToGrid/>
        <w:spacing w:line="360" w:lineRule="auto"/>
        <w:ind w:left="425" w:leftChars="0" w:hanging="425" w:firstLineChars="0"/>
        <w:textAlignment w:val="auto"/>
        <w:rPr>
          <w:rFonts w:hint="default" w:ascii="宋体" w:hAnsi="宋体" w:eastAsia="宋体" w:cs="宋体"/>
          <w:sz w:val="24"/>
          <w:szCs w:val="32"/>
          <w:lang w:val="en-US" w:eastAsia="zh-CN"/>
        </w:rPr>
      </w:pPr>
      <w:r>
        <w:rPr>
          <w:rFonts w:hint="eastAsia" w:ascii="宋体" w:hAnsi="宋体" w:eastAsia="宋体" w:cs="宋体"/>
          <w:sz w:val="24"/>
          <w:szCs w:val="32"/>
          <w:lang w:val="en-US" w:eastAsia="zh-CN"/>
        </w:rPr>
        <w:t>根据指标额度标识判断支付申请录入页签，示例工资额度调用工资支付申请录入页签。</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default" w:ascii="宋体" w:hAnsi="宋体" w:eastAsia="宋体" w:cs="宋体"/>
          <w:sz w:val="24"/>
          <w:szCs w:val="32"/>
          <w:lang w:val="en-US" w:eastAsia="zh-CN"/>
        </w:rPr>
      </w:pPr>
      <w:r>
        <w:drawing>
          <wp:inline distT="0" distB="0" distL="114300" distR="114300">
            <wp:extent cx="5263515" cy="2014220"/>
            <wp:effectExtent l="0" t="0" r="13335" b="5080"/>
            <wp:docPr id="2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3"/>
                    <pic:cNvPicPr>
                      <a:picLocks noChangeAspect="1"/>
                    </pic:cNvPicPr>
                  </pic:nvPicPr>
                  <pic:blipFill>
                    <a:blip r:embed="rId21"/>
                    <a:stretch>
                      <a:fillRect/>
                    </a:stretch>
                  </pic:blipFill>
                  <pic:spPr>
                    <a:xfrm>
                      <a:off x="0" y="0"/>
                      <a:ext cx="5263515" cy="2014220"/>
                    </a:xfrm>
                    <a:prstGeom prst="rect">
                      <a:avLst/>
                    </a:prstGeom>
                    <a:noFill/>
                    <a:ln>
                      <a:noFill/>
                    </a:ln>
                  </pic:spPr>
                </pic:pic>
              </a:graphicData>
            </a:graphic>
          </wp:inline>
        </w:drawing>
      </w:r>
    </w:p>
    <w:p>
      <w:pPr>
        <w:keepNext w:val="0"/>
        <w:keepLines w:val="0"/>
        <w:pageBreakBefore w:val="0"/>
        <w:widowControl w:val="0"/>
        <w:numPr>
          <w:ilvl w:val="0"/>
          <w:numId w:val="10"/>
        </w:numPr>
        <w:kinsoku/>
        <w:wordWrap/>
        <w:overflowPunct/>
        <w:topLinePunct w:val="0"/>
        <w:autoSpaceDE/>
        <w:autoSpaceDN/>
        <w:bidi w:val="0"/>
        <w:adjustRightInd/>
        <w:snapToGrid/>
        <w:spacing w:line="360" w:lineRule="auto"/>
        <w:ind w:left="425" w:leftChars="0" w:hanging="425" w:firstLineChars="0"/>
        <w:textAlignment w:val="auto"/>
        <w:rPr>
          <w:rFonts w:hint="default" w:ascii="宋体" w:hAnsi="宋体" w:eastAsia="宋体" w:cs="宋体"/>
          <w:sz w:val="24"/>
          <w:szCs w:val="32"/>
          <w:lang w:val="en-US" w:eastAsia="zh-CN"/>
        </w:rPr>
      </w:pPr>
      <w:r>
        <w:rPr>
          <w:rFonts w:hint="eastAsia" w:ascii="宋体" w:hAnsi="宋体" w:eastAsia="宋体" w:cs="宋体"/>
          <w:sz w:val="24"/>
          <w:szCs w:val="32"/>
          <w:lang w:val="en-US" w:eastAsia="zh-CN"/>
        </w:rPr>
        <w:t>保存完成后，进入送审、审核、签章、发送流程。</w:t>
      </w:r>
    </w:p>
    <w:p>
      <w:pPr>
        <w:rPr>
          <w:rFonts w:hint="eastAsia"/>
          <w:lang w:val="en-US" w:eastAsia="zh-CN"/>
        </w:rPr>
      </w:pPr>
    </w:p>
    <w:p>
      <w:pPr>
        <w:pStyle w:val="3"/>
        <w:bidi w:val="0"/>
        <w:ind w:left="575" w:hanging="575"/>
        <w:rPr>
          <w:rFonts w:hint="eastAsia" w:ascii="仿宋" w:hAnsi="仿宋" w:eastAsia="仿宋" w:cs="仿宋"/>
          <w:b/>
          <w:bCs w:val="0"/>
          <w:sz w:val="28"/>
          <w:szCs w:val="22"/>
          <w:lang w:val="en-US" w:eastAsia="zh-CN"/>
        </w:rPr>
      </w:pPr>
      <w:r>
        <w:rPr>
          <w:rFonts w:hint="eastAsia" w:ascii="仿宋" w:hAnsi="仿宋" w:eastAsia="仿宋" w:cs="仿宋"/>
          <w:b/>
          <w:bCs w:val="0"/>
          <w:sz w:val="28"/>
          <w:szCs w:val="22"/>
          <w:lang w:val="en-US" w:eastAsia="zh-CN"/>
        </w:rPr>
        <w:t>单位资金收入业务</w:t>
      </w:r>
    </w:p>
    <w:p>
      <w:pPr>
        <w:pStyle w:val="4"/>
        <w:bidi w:val="0"/>
        <w:ind w:left="720" w:hanging="720"/>
        <w:rPr>
          <w:rFonts w:hint="eastAsia" w:ascii="黑体" w:hAnsi="黑体" w:eastAsia="黑体" w:cs="黑体"/>
          <w:b w:val="0"/>
          <w:bCs/>
          <w:sz w:val="28"/>
          <w:szCs w:val="22"/>
          <w:lang w:val="en-US" w:eastAsia="zh-CN"/>
        </w:rPr>
      </w:pPr>
      <w:r>
        <w:rPr>
          <w:rFonts w:hint="eastAsia" w:ascii="黑体" w:hAnsi="黑体" w:eastAsia="黑体" w:cs="黑体"/>
          <w:b w:val="0"/>
          <w:bCs/>
          <w:sz w:val="28"/>
          <w:szCs w:val="22"/>
          <w:lang w:val="en-US" w:eastAsia="zh-CN"/>
        </w:rPr>
        <w:t>单位资金年初数按往来指标处理场景</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sz w:val="24"/>
          <w:szCs w:val="32"/>
          <w:lang w:val="en-US" w:eastAsia="zh-CN"/>
        </w:rPr>
      </w:pPr>
      <w:r>
        <w:rPr>
          <w:rFonts w:hint="eastAsia" w:ascii="宋体" w:hAnsi="宋体" w:eastAsia="宋体" w:cs="宋体"/>
          <w:sz w:val="24"/>
          <w:szCs w:val="32"/>
          <w:lang w:val="en-US" w:eastAsia="zh-CN"/>
        </w:rPr>
        <w:t>因对标要求将单位资金纳入财政管理，往年的单位资金结转结余数，作为2021年单位资金年初数，按照单位往来指标进行资金支付。通过预算执行对标系统的单位资金收入管理模块中“单位资金年初数导入”功能导入预算执行对标系统。</w:t>
      </w:r>
      <w:r>
        <w:rPr>
          <w:rFonts w:hint="eastAsia" w:ascii="宋体" w:hAnsi="宋体" w:eastAsia="宋体" w:cs="宋体"/>
          <w:color w:val="FF0000"/>
          <w:sz w:val="24"/>
          <w:szCs w:val="32"/>
          <w:highlight w:val="none"/>
          <w:lang w:val="en-US" w:eastAsia="zh-CN"/>
        </w:rPr>
        <w:t>仅年初使用。</w:t>
      </w:r>
    </w:p>
    <w:p>
      <w:pPr>
        <w:keepNext w:val="0"/>
        <w:keepLines w:val="0"/>
        <w:pageBreakBefore w:val="0"/>
        <w:widowControl w:val="0"/>
        <w:numPr>
          <w:ilvl w:val="0"/>
          <w:numId w:val="11"/>
        </w:numPr>
        <w:kinsoku/>
        <w:wordWrap/>
        <w:overflowPunct/>
        <w:topLinePunct w:val="0"/>
        <w:autoSpaceDE/>
        <w:autoSpaceDN/>
        <w:bidi w:val="0"/>
        <w:adjustRightInd/>
        <w:snapToGrid/>
        <w:spacing w:line="360" w:lineRule="auto"/>
        <w:ind w:left="425" w:leftChars="0" w:hanging="425" w:firstLineChars="0"/>
        <w:textAlignment w:val="auto"/>
        <w:rPr>
          <w:rFonts w:hint="eastAsia" w:ascii="宋体" w:hAnsi="宋体" w:eastAsia="宋体" w:cs="宋体"/>
          <w:sz w:val="24"/>
          <w:szCs w:val="32"/>
          <w:lang w:val="en-US" w:eastAsia="zh-CN"/>
        </w:rPr>
      </w:pPr>
      <w:r>
        <w:rPr>
          <w:rFonts w:hint="eastAsia" w:ascii="宋体" w:hAnsi="宋体" w:eastAsia="宋体" w:cs="宋体"/>
          <w:sz w:val="24"/>
          <w:szCs w:val="32"/>
          <w:lang w:val="en-US" w:eastAsia="zh-CN"/>
        </w:rPr>
        <w:t>单位资金年初数导入界面。导入完成后，进行送审。</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4"/>
          <w:szCs w:val="32"/>
          <w:lang w:val="en-US" w:eastAsia="zh-CN"/>
        </w:rPr>
      </w:pPr>
      <w:r>
        <w:drawing>
          <wp:inline distT="0" distB="0" distL="114300" distR="114300">
            <wp:extent cx="5269230" cy="2411095"/>
            <wp:effectExtent l="0" t="0" r="7620" b="8255"/>
            <wp:docPr id="24"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6"/>
                    <pic:cNvPicPr>
                      <a:picLocks noChangeAspect="1"/>
                    </pic:cNvPicPr>
                  </pic:nvPicPr>
                  <pic:blipFill>
                    <a:blip r:embed="rId22"/>
                    <a:stretch>
                      <a:fillRect/>
                    </a:stretch>
                  </pic:blipFill>
                  <pic:spPr>
                    <a:xfrm>
                      <a:off x="0" y="0"/>
                      <a:ext cx="5269230" cy="2411095"/>
                    </a:xfrm>
                    <a:prstGeom prst="rect">
                      <a:avLst/>
                    </a:prstGeom>
                    <a:noFill/>
                    <a:ln>
                      <a:noFill/>
                    </a:ln>
                  </pic:spPr>
                </pic:pic>
              </a:graphicData>
            </a:graphic>
          </wp:inline>
        </w:drawing>
      </w:r>
    </w:p>
    <w:p>
      <w:pPr>
        <w:keepNext w:val="0"/>
        <w:keepLines w:val="0"/>
        <w:pageBreakBefore w:val="0"/>
        <w:widowControl w:val="0"/>
        <w:numPr>
          <w:ilvl w:val="0"/>
          <w:numId w:val="11"/>
        </w:numPr>
        <w:kinsoku/>
        <w:wordWrap/>
        <w:overflowPunct/>
        <w:topLinePunct w:val="0"/>
        <w:autoSpaceDE/>
        <w:autoSpaceDN/>
        <w:bidi w:val="0"/>
        <w:adjustRightInd/>
        <w:snapToGrid/>
        <w:spacing w:line="360" w:lineRule="auto"/>
        <w:ind w:left="425" w:leftChars="0" w:hanging="425" w:firstLineChars="0"/>
        <w:textAlignment w:val="auto"/>
        <w:rPr>
          <w:rFonts w:hint="default" w:ascii="宋体" w:hAnsi="宋体" w:eastAsia="宋体" w:cs="宋体"/>
          <w:sz w:val="24"/>
          <w:szCs w:val="32"/>
          <w:lang w:val="en-US" w:eastAsia="zh-CN"/>
        </w:rPr>
      </w:pPr>
      <w:r>
        <w:rPr>
          <w:rFonts w:hint="eastAsia" w:ascii="宋体" w:hAnsi="宋体" w:eastAsia="宋体" w:cs="宋体"/>
          <w:sz w:val="24"/>
          <w:szCs w:val="32"/>
          <w:lang w:val="en-US" w:eastAsia="zh-CN"/>
        </w:rPr>
        <w:t>送审完成后的数据，进入“单位资金收入财政确认”界面。点击“确认”，弹出“此数据生成单位往来指标，但不记预算指标账”提示框。</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pPr>
      <w:r>
        <w:drawing>
          <wp:inline distT="0" distB="0" distL="114300" distR="114300">
            <wp:extent cx="5269230" cy="2411095"/>
            <wp:effectExtent l="0" t="0" r="7620" b="8255"/>
            <wp:docPr id="25"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7"/>
                    <pic:cNvPicPr>
                      <a:picLocks noChangeAspect="1"/>
                    </pic:cNvPicPr>
                  </pic:nvPicPr>
                  <pic:blipFill>
                    <a:blip r:embed="rId23"/>
                    <a:stretch>
                      <a:fillRect/>
                    </a:stretch>
                  </pic:blipFill>
                  <pic:spPr>
                    <a:xfrm>
                      <a:off x="0" y="0"/>
                      <a:ext cx="5269230" cy="2411095"/>
                    </a:xfrm>
                    <a:prstGeom prst="rect">
                      <a:avLst/>
                    </a:prstGeom>
                    <a:noFill/>
                    <a:ln>
                      <a:noFill/>
                    </a:ln>
                  </pic:spPr>
                </pic:pic>
              </a:graphicData>
            </a:graphic>
          </wp:inline>
        </w:drawing>
      </w:r>
    </w:p>
    <w:p>
      <w:pPr>
        <w:keepNext w:val="0"/>
        <w:keepLines w:val="0"/>
        <w:pageBreakBefore w:val="0"/>
        <w:widowControl w:val="0"/>
        <w:numPr>
          <w:ilvl w:val="0"/>
          <w:numId w:val="11"/>
        </w:numPr>
        <w:kinsoku/>
        <w:wordWrap/>
        <w:overflowPunct/>
        <w:topLinePunct w:val="0"/>
        <w:autoSpaceDE/>
        <w:autoSpaceDN/>
        <w:bidi w:val="0"/>
        <w:adjustRightInd/>
        <w:snapToGrid/>
        <w:spacing w:line="360" w:lineRule="auto"/>
        <w:ind w:left="425" w:leftChars="0" w:hanging="425" w:firstLineChars="0"/>
        <w:textAlignment w:val="auto"/>
        <w:rPr>
          <w:rFonts w:hint="default" w:ascii="宋体" w:hAnsi="宋体" w:eastAsia="宋体" w:cs="宋体"/>
          <w:sz w:val="24"/>
          <w:szCs w:val="32"/>
          <w:lang w:val="en-US" w:eastAsia="zh-CN"/>
        </w:rPr>
      </w:pPr>
      <w:r>
        <w:rPr>
          <w:rFonts w:hint="eastAsia" w:ascii="宋体" w:hAnsi="宋体" w:eastAsia="宋体" w:cs="宋体"/>
          <w:sz w:val="24"/>
          <w:szCs w:val="32"/>
          <w:lang w:val="en-US" w:eastAsia="zh-CN"/>
        </w:rPr>
        <w:t>确认完成后，系统根据导入数据的账户类型信息，判断生成的单位往来指标进入“单位往来资金支付（财政代管）”还是“单位往来资金支付（单位实户）”。当账户类型为34-代管资金财政专户时，生成的单位往来指标进入“单位往来资金支付（财政代管）”的支付申请录入界面；当账户类型为41-基本存款账户时，生成的单位往来指标进入“单位往来资金支付（单位实户）”的支付申请录入界面。</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default" w:ascii="宋体" w:hAnsi="宋体" w:eastAsia="宋体" w:cs="宋体"/>
          <w:sz w:val="24"/>
          <w:szCs w:val="32"/>
          <w:lang w:val="en-US" w:eastAsia="zh-CN"/>
        </w:rPr>
      </w:pPr>
    </w:p>
    <w:p>
      <w:pPr>
        <w:pStyle w:val="4"/>
        <w:bidi w:val="0"/>
        <w:ind w:left="720" w:hanging="720"/>
        <w:rPr>
          <w:rFonts w:hint="eastAsia" w:ascii="黑体" w:hAnsi="黑体" w:eastAsia="黑体" w:cs="黑体"/>
          <w:b w:val="0"/>
          <w:bCs/>
          <w:sz w:val="28"/>
          <w:szCs w:val="22"/>
          <w:lang w:val="en-US" w:eastAsia="zh-CN"/>
        </w:rPr>
      </w:pPr>
      <w:r>
        <w:rPr>
          <w:rFonts w:hint="eastAsia" w:ascii="黑体" w:hAnsi="黑体" w:eastAsia="黑体" w:cs="黑体"/>
          <w:b w:val="0"/>
          <w:bCs/>
          <w:sz w:val="28"/>
          <w:szCs w:val="22"/>
          <w:lang w:val="en-US" w:eastAsia="zh-CN"/>
        </w:rPr>
        <w:t>单位资金收入确认场景</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32"/>
          <w:lang w:val="en-US" w:eastAsia="zh-CN"/>
        </w:rPr>
      </w:pPr>
      <w:r>
        <w:rPr>
          <w:rFonts w:hint="eastAsia" w:ascii="宋体" w:hAnsi="宋体" w:eastAsia="宋体" w:cs="宋体"/>
          <w:sz w:val="24"/>
          <w:szCs w:val="32"/>
          <w:lang w:val="en-US" w:eastAsia="zh-CN"/>
        </w:rPr>
        <w:t>因对标要求，单位资金账户开户行应定期向财政云系统返回单位资金账户收入、交易流水以及余额信息。</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32"/>
          <w:lang w:val="en-US" w:eastAsia="zh-CN"/>
        </w:rPr>
      </w:pPr>
      <w:r>
        <w:rPr>
          <w:rFonts w:hint="eastAsia" w:ascii="宋体" w:hAnsi="宋体" w:eastAsia="宋体" w:cs="宋体"/>
          <w:sz w:val="24"/>
          <w:szCs w:val="32"/>
          <w:lang w:val="en-US" w:eastAsia="zh-CN"/>
        </w:rPr>
        <w:t>财政部门首次需要向单位资金账户开户行发送所有预算单位的单位资金账户信息，后续以增量形式（指新增的单位资金账户）发送。预算单位需要对单位资金收入通过“补充要素”功能进行收入确认，目的是需要预算单位区分该笔收入属于单位收入还是单位往来。</w:t>
      </w:r>
    </w:p>
    <w:p>
      <w:pPr>
        <w:keepNext w:val="0"/>
        <w:keepLines w:val="0"/>
        <w:pageBreakBefore w:val="0"/>
        <w:widowControl w:val="0"/>
        <w:numPr>
          <w:ilvl w:val="0"/>
          <w:numId w:val="12"/>
        </w:numPr>
        <w:kinsoku/>
        <w:wordWrap/>
        <w:overflowPunct/>
        <w:topLinePunct w:val="0"/>
        <w:autoSpaceDE/>
        <w:autoSpaceDN/>
        <w:bidi w:val="0"/>
        <w:adjustRightInd/>
        <w:snapToGrid/>
        <w:spacing w:line="360" w:lineRule="auto"/>
        <w:ind w:left="425" w:leftChars="0" w:hanging="425" w:firstLineChars="0"/>
        <w:textAlignment w:val="auto"/>
        <w:rPr>
          <w:rFonts w:hint="default" w:ascii="宋体" w:hAnsi="宋体" w:eastAsia="宋体" w:cs="宋体"/>
          <w:sz w:val="24"/>
          <w:szCs w:val="32"/>
          <w:lang w:val="en-US" w:eastAsia="zh-CN"/>
        </w:rPr>
      </w:pPr>
      <w:r>
        <w:rPr>
          <w:rFonts w:hint="eastAsia" w:ascii="宋体" w:hAnsi="宋体" w:eastAsia="宋体" w:cs="宋体"/>
          <w:sz w:val="24"/>
          <w:szCs w:val="32"/>
          <w:lang w:val="en-US" w:eastAsia="zh-CN"/>
        </w:rPr>
        <w:t>预算单位确认单位资金收入界面，点击“补充要素”，维护信息项。维护完信息项点击“保存”后，预算单位点击“确认”，数据进入“单位资金收入财政确认”界面。</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pPr>
      <w:r>
        <w:drawing>
          <wp:inline distT="0" distB="0" distL="114300" distR="114300">
            <wp:extent cx="5269230" cy="2411095"/>
            <wp:effectExtent l="0" t="0" r="7620" b="8255"/>
            <wp:docPr id="27"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9"/>
                    <pic:cNvPicPr>
                      <a:picLocks noChangeAspect="1"/>
                    </pic:cNvPicPr>
                  </pic:nvPicPr>
                  <pic:blipFill>
                    <a:blip r:embed="rId24"/>
                    <a:stretch>
                      <a:fillRect/>
                    </a:stretch>
                  </pic:blipFill>
                  <pic:spPr>
                    <a:xfrm>
                      <a:off x="0" y="0"/>
                      <a:ext cx="5269230" cy="2411095"/>
                    </a:xfrm>
                    <a:prstGeom prst="rect">
                      <a:avLst/>
                    </a:prstGeom>
                    <a:noFill/>
                    <a:ln>
                      <a:noFill/>
                    </a:ln>
                  </pic:spPr>
                </pic:pic>
              </a:graphicData>
            </a:graphic>
          </wp:inline>
        </w:drawing>
      </w:r>
    </w:p>
    <w:p>
      <w:pPr>
        <w:keepNext w:val="0"/>
        <w:keepLines w:val="0"/>
        <w:pageBreakBefore w:val="0"/>
        <w:widowControl w:val="0"/>
        <w:numPr>
          <w:ilvl w:val="0"/>
          <w:numId w:val="12"/>
        </w:numPr>
        <w:kinsoku/>
        <w:wordWrap/>
        <w:overflowPunct/>
        <w:topLinePunct w:val="0"/>
        <w:autoSpaceDE/>
        <w:autoSpaceDN/>
        <w:bidi w:val="0"/>
        <w:adjustRightInd/>
        <w:snapToGrid/>
        <w:spacing w:line="360" w:lineRule="auto"/>
        <w:ind w:left="425" w:leftChars="0" w:hanging="425" w:firstLineChars="0"/>
        <w:textAlignment w:val="auto"/>
        <w:rPr>
          <w:rFonts w:hint="default" w:ascii="宋体" w:hAnsi="宋体" w:eastAsia="宋体" w:cs="宋体"/>
          <w:sz w:val="24"/>
          <w:szCs w:val="32"/>
          <w:lang w:val="en-US" w:eastAsia="zh-CN"/>
        </w:rPr>
      </w:pPr>
      <w:r>
        <w:rPr>
          <w:rFonts w:hint="eastAsia" w:ascii="宋体" w:hAnsi="宋体" w:eastAsia="宋体" w:cs="宋体"/>
          <w:sz w:val="24"/>
          <w:szCs w:val="32"/>
          <w:lang w:val="en-US" w:eastAsia="zh-CN"/>
        </w:rPr>
        <w:t>财政部门确认单位资金收入确认界面，当确认的数据为单位收入时，形成单位收入数，用于控制单位收入资金支付；当确认的数据为单位往来时，形成单位往来指标，用于控制单位往来资金支付。</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default" w:ascii="宋体" w:hAnsi="宋体" w:eastAsia="宋体" w:cs="宋体"/>
          <w:sz w:val="24"/>
          <w:szCs w:val="32"/>
          <w:lang w:val="en-US" w:eastAsia="zh-CN"/>
        </w:rPr>
      </w:pPr>
      <w:r>
        <w:drawing>
          <wp:inline distT="0" distB="0" distL="114300" distR="114300">
            <wp:extent cx="5269230" cy="2411095"/>
            <wp:effectExtent l="0" t="0" r="7620" b="8255"/>
            <wp:docPr id="28"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0"/>
                    <pic:cNvPicPr>
                      <a:picLocks noChangeAspect="1"/>
                    </pic:cNvPicPr>
                  </pic:nvPicPr>
                  <pic:blipFill>
                    <a:blip r:embed="rId25"/>
                    <a:stretch>
                      <a:fillRect/>
                    </a:stretch>
                  </pic:blipFill>
                  <pic:spPr>
                    <a:xfrm>
                      <a:off x="0" y="0"/>
                      <a:ext cx="5269230" cy="2411095"/>
                    </a:xfrm>
                    <a:prstGeom prst="rect">
                      <a:avLst/>
                    </a:prstGeom>
                    <a:noFill/>
                    <a:ln>
                      <a:noFill/>
                    </a:ln>
                  </pic:spPr>
                </pic:pic>
              </a:graphicData>
            </a:graphic>
          </wp:inline>
        </w:drawing>
      </w:r>
    </w:p>
    <w:p>
      <w:pPr>
        <w:keepNext w:val="0"/>
        <w:keepLines w:val="0"/>
        <w:pageBreakBefore w:val="0"/>
        <w:widowControl w:val="0"/>
        <w:numPr>
          <w:ilvl w:val="0"/>
          <w:numId w:val="12"/>
        </w:numPr>
        <w:kinsoku/>
        <w:wordWrap/>
        <w:overflowPunct/>
        <w:topLinePunct w:val="0"/>
        <w:autoSpaceDE/>
        <w:autoSpaceDN/>
        <w:bidi w:val="0"/>
        <w:adjustRightInd/>
        <w:snapToGrid/>
        <w:spacing w:line="360" w:lineRule="auto"/>
        <w:ind w:left="425" w:leftChars="0" w:hanging="425" w:firstLineChars="0"/>
        <w:textAlignment w:val="auto"/>
        <w:rPr>
          <w:rFonts w:hint="default" w:ascii="宋体" w:hAnsi="宋体" w:eastAsia="宋体" w:cs="宋体"/>
          <w:sz w:val="24"/>
          <w:szCs w:val="32"/>
          <w:lang w:val="en-US" w:eastAsia="zh-CN"/>
        </w:rPr>
      </w:pPr>
      <w:r>
        <w:rPr>
          <w:rFonts w:hint="eastAsia" w:ascii="宋体" w:hAnsi="宋体" w:eastAsia="宋体" w:cs="宋体"/>
          <w:sz w:val="24"/>
          <w:szCs w:val="32"/>
          <w:lang w:val="en-US" w:eastAsia="zh-CN"/>
        </w:rPr>
        <w:t>财政部门确认完单位资金收入后，单位资金收入流程结束，进入单位资金支付流程。</w:t>
      </w:r>
    </w:p>
    <w:p>
      <w:pPr>
        <w:pStyle w:val="3"/>
        <w:bidi w:val="0"/>
        <w:ind w:left="575" w:hanging="575"/>
        <w:rPr>
          <w:rFonts w:hint="eastAsia" w:ascii="仿宋" w:hAnsi="仿宋" w:eastAsia="仿宋" w:cs="仿宋"/>
          <w:b/>
          <w:bCs w:val="0"/>
          <w:sz w:val="28"/>
          <w:szCs w:val="22"/>
          <w:lang w:val="en-US" w:eastAsia="zh-CN"/>
        </w:rPr>
      </w:pPr>
      <w:r>
        <w:rPr>
          <w:rFonts w:hint="eastAsia" w:ascii="仿宋" w:hAnsi="仿宋" w:eastAsia="仿宋" w:cs="仿宋"/>
          <w:b/>
          <w:bCs w:val="0"/>
          <w:sz w:val="28"/>
          <w:szCs w:val="22"/>
          <w:lang w:val="en-US" w:eastAsia="zh-CN"/>
        </w:rPr>
        <w:t>单位资金支付业务</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32"/>
          <w:lang w:val="en-US" w:eastAsia="zh-CN"/>
        </w:rPr>
      </w:pPr>
      <w:r>
        <w:rPr>
          <w:rFonts w:hint="eastAsia" w:ascii="宋体" w:hAnsi="宋体" w:eastAsia="宋体" w:cs="宋体"/>
          <w:sz w:val="24"/>
          <w:szCs w:val="32"/>
          <w:lang w:val="en-US" w:eastAsia="zh-CN"/>
        </w:rPr>
        <w:t>单位收入资金支付通过“指标账和收入数”模式控制收入资金支付，即可用金额取“预算指标可用金额和收入可用金额两者较小值”。所以单位资金支付的前提，需要有预算指标和单位收入数，缺一不可。</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32"/>
          <w:lang w:val="en-US" w:eastAsia="zh-CN"/>
        </w:rPr>
      </w:pPr>
      <w:r>
        <w:rPr>
          <w:rFonts w:hint="eastAsia" w:ascii="宋体" w:hAnsi="宋体" w:eastAsia="宋体" w:cs="宋体"/>
          <w:sz w:val="24"/>
          <w:szCs w:val="32"/>
          <w:lang w:val="en-US" w:eastAsia="zh-CN"/>
        </w:rPr>
        <w:t>单位往来资金支付通过“单位往来收入形成单位往来指标，往来指标控制单位往来资金支付”模式控制往来资金支付，即可用金额为往来指标的可用金额。</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sz w:val="24"/>
          <w:szCs w:val="32"/>
          <w:lang w:val="en-US" w:eastAsia="zh-CN"/>
        </w:rPr>
      </w:pPr>
      <w:r>
        <w:rPr>
          <w:rFonts w:hint="eastAsia" w:ascii="宋体" w:hAnsi="宋体" w:eastAsia="宋体" w:cs="宋体"/>
          <w:sz w:val="24"/>
          <w:szCs w:val="32"/>
          <w:lang w:val="en-US" w:eastAsia="zh-CN"/>
        </w:rPr>
        <w:t>单位收入资金支付和单位往来资金支付均支持集中管理模式（代管专户）和分散管理模式（实有账户）。</w:t>
      </w:r>
    </w:p>
    <w:p>
      <w:pPr>
        <w:pStyle w:val="4"/>
        <w:bidi w:val="0"/>
        <w:ind w:left="720" w:hanging="720"/>
        <w:rPr>
          <w:rFonts w:hint="eastAsia" w:ascii="黑体" w:hAnsi="黑体" w:eastAsia="黑体" w:cs="黑体"/>
          <w:b w:val="0"/>
          <w:bCs/>
          <w:sz w:val="28"/>
          <w:szCs w:val="22"/>
          <w:lang w:val="en-US" w:eastAsia="zh-CN"/>
        </w:rPr>
      </w:pPr>
      <w:r>
        <w:rPr>
          <w:rFonts w:hint="eastAsia" w:ascii="黑体" w:hAnsi="黑体" w:eastAsia="黑体" w:cs="黑体"/>
          <w:b w:val="0"/>
          <w:bCs/>
          <w:sz w:val="28"/>
          <w:szCs w:val="22"/>
          <w:lang w:val="en-US" w:eastAsia="zh-CN"/>
        </w:rPr>
        <w:t>单位资金支付-代管专户场景</w:t>
      </w:r>
    </w:p>
    <w:p>
      <w:pPr>
        <w:pStyle w:val="5"/>
        <w:bidi w:val="0"/>
        <w:ind w:left="864" w:hanging="864"/>
        <w:rPr>
          <w:rFonts w:hint="eastAsia" w:ascii="仿宋" w:hAnsi="仿宋" w:eastAsia="仿宋" w:cs="仿宋"/>
          <w:b/>
          <w:bCs w:val="0"/>
          <w:sz w:val="24"/>
          <w:szCs w:val="22"/>
          <w:lang w:val="en-US" w:eastAsia="zh-CN"/>
        </w:rPr>
      </w:pPr>
      <w:r>
        <w:rPr>
          <w:rFonts w:hint="eastAsia" w:ascii="仿宋" w:hAnsi="仿宋" w:eastAsia="仿宋" w:cs="仿宋"/>
          <w:b/>
          <w:bCs w:val="0"/>
          <w:sz w:val="24"/>
          <w:szCs w:val="22"/>
          <w:lang w:val="en-US" w:eastAsia="zh-CN"/>
        </w:rPr>
        <w:t>单位收入资金支付-代管专户</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32"/>
          <w:highlight w:val="yellow"/>
          <w:lang w:val="en-US" w:eastAsia="zh-CN"/>
        </w:rPr>
      </w:pPr>
      <w:r>
        <w:rPr>
          <w:rFonts w:hint="eastAsia" w:ascii="宋体" w:hAnsi="宋体" w:eastAsia="宋体" w:cs="宋体"/>
          <w:sz w:val="24"/>
          <w:szCs w:val="32"/>
          <w:lang w:val="en-US" w:eastAsia="zh-CN"/>
        </w:rPr>
        <w:t>预算执行对标系统支持预算单位录入单位收入资金支付申请，实现电子化资金支付。界面显示的额度数据</w:t>
      </w:r>
      <w:r>
        <w:rPr>
          <w:rFonts w:hint="eastAsia" w:ascii="宋体" w:hAnsi="宋体" w:eastAsia="宋体" w:cs="宋体"/>
          <w:sz w:val="24"/>
          <w:szCs w:val="32"/>
          <w:highlight w:val="yellow"/>
          <w:lang w:val="en-US" w:eastAsia="zh-CN"/>
        </w:rPr>
        <w:t>账户类型为34-代管资金财政专户</w:t>
      </w:r>
      <w:r>
        <w:rPr>
          <w:rFonts w:hint="eastAsia" w:ascii="宋体" w:hAnsi="宋体" w:eastAsia="宋体" w:cs="宋体"/>
          <w:sz w:val="24"/>
          <w:szCs w:val="32"/>
          <w:lang w:val="en-US" w:eastAsia="zh-CN"/>
        </w:rPr>
        <w:t>，</w:t>
      </w:r>
      <w:r>
        <w:rPr>
          <w:rFonts w:hint="eastAsia" w:ascii="宋体" w:hAnsi="宋体" w:eastAsia="宋体" w:cs="宋体"/>
          <w:sz w:val="24"/>
          <w:szCs w:val="32"/>
          <w:highlight w:val="yellow"/>
          <w:lang w:val="en-US" w:eastAsia="zh-CN"/>
        </w:rPr>
        <w:t>支付方式为31-单位资金支付-集中</w:t>
      </w:r>
      <w:r>
        <w:rPr>
          <w:rFonts w:hint="eastAsia" w:ascii="宋体" w:hAnsi="宋体" w:eastAsia="宋体" w:cs="宋体"/>
          <w:sz w:val="24"/>
          <w:szCs w:val="32"/>
          <w:lang w:val="en-US" w:eastAsia="zh-CN"/>
        </w:rPr>
        <w:t>，</w:t>
      </w:r>
      <w:r>
        <w:rPr>
          <w:rFonts w:hint="eastAsia" w:ascii="宋体" w:hAnsi="宋体" w:eastAsia="宋体" w:cs="宋体"/>
          <w:sz w:val="24"/>
          <w:szCs w:val="32"/>
          <w:highlight w:val="yellow"/>
          <w:lang w:val="en-US" w:eastAsia="zh-CN"/>
        </w:rPr>
        <w:t>资金性质为3开头的单位资金。</w:t>
      </w:r>
    </w:p>
    <w:p>
      <w:pPr>
        <w:keepNext w:val="0"/>
        <w:keepLines w:val="0"/>
        <w:pageBreakBefore w:val="0"/>
        <w:widowControl w:val="0"/>
        <w:numPr>
          <w:ilvl w:val="0"/>
          <w:numId w:val="13"/>
        </w:numPr>
        <w:kinsoku/>
        <w:wordWrap/>
        <w:overflowPunct/>
        <w:topLinePunct w:val="0"/>
        <w:autoSpaceDE/>
        <w:autoSpaceDN/>
        <w:bidi w:val="0"/>
        <w:adjustRightInd/>
        <w:snapToGrid/>
        <w:spacing w:line="360" w:lineRule="auto"/>
        <w:ind w:left="425" w:leftChars="0" w:hanging="425" w:firstLineChars="0"/>
        <w:textAlignment w:val="auto"/>
        <w:rPr>
          <w:rFonts w:hint="default" w:ascii="宋体" w:hAnsi="宋体" w:eastAsia="宋体" w:cs="宋体"/>
          <w:sz w:val="24"/>
          <w:szCs w:val="32"/>
          <w:lang w:val="en-US" w:eastAsia="zh-CN"/>
        </w:rPr>
      </w:pPr>
      <w:r>
        <w:rPr>
          <w:rFonts w:hint="eastAsia" w:ascii="宋体" w:hAnsi="宋体" w:eastAsia="宋体" w:cs="宋体"/>
          <w:sz w:val="24"/>
          <w:szCs w:val="32"/>
          <w:lang w:val="en-US" w:eastAsia="zh-CN"/>
        </w:rPr>
        <w:t>通过指标额度的标识信息，判断所属业务。</w:t>
      </w:r>
      <w:r>
        <w:rPr>
          <w:rFonts w:hint="eastAsia" w:ascii="宋体" w:hAnsi="宋体" w:eastAsia="宋体" w:cs="宋体"/>
          <w:sz w:val="24"/>
          <w:szCs w:val="32"/>
          <w:highlight w:val="lightGray"/>
          <w:lang w:val="en-US" w:eastAsia="zh-CN"/>
        </w:rPr>
        <w:t>业务包含普通支付、政府采购、工资发放</w:t>
      </w:r>
      <w:r>
        <w:rPr>
          <w:rFonts w:hint="eastAsia" w:ascii="宋体" w:hAnsi="宋体" w:eastAsia="宋体" w:cs="宋体"/>
          <w:sz w:val="24"/>
          <w:szCs w:val="32"/>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default" w:ascii="宋体" w:hAnsi="宋体" w:eastAsia="宋体" w:cs="宋体"/>
          <w:sz w:val="24"/>
          <w:szCs w:val="32"/>
          <w:lang w:val="en-US" w:eastAsia="zh-CN"/>
        </w:rPr>
      </w:pPr>
      <w:r>
        <w:drawing>
          <wp:inline distT="0" distB="0" distL="114300" distR="114300">
            <wp:extent cx="5269230" cy="2411095"/>
            <wp:effectExtent l="0" t="0" r="7620" b="8255"/>
            <wp:docPr id="30"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2"/>
                    <pic:cNvPicPr>
                      <a:picLocks noChangeAspect="1"/>
                    </pic:cNvPicPr>
                  </pic:nvPicPr>
                  <pic:blipFill>
                    <a:blip r:embed="rId26"/>
                    <a:stretch>
                      <a:fillRect/>
                    </a:stretch>
                  </pic:blipFill>
                  <pic:spPr>
                    <a:xfrm>
                      <a:off x="0" y="0"/>
                      <a:ext cx="5269230" cy="2411095"/>
                    </a:xfrm>
                    <a:prstGeom prst="rect">
                      <a:avLst/>
                    </a:prstGeom>
                    <a:noFill/>
                    <a:ln>
                      <a:noFill/>
                    </a:ln>
                  </pic:spPr>
                </pic:pic>
              </a:graphicData>
            </a:graphic>
          </wp:inline>
        </w:drawing>
      </w:r>
    </w:p>
    <w:p>
      <w:pPr>
        <w:keepNext w:val="0"/>
        <w:keepLines w:val="0"/>
        <w:pageBreakBefore w:val="0"/>
        <w:widowControl w:val="0"/>
        <w:numPr>
          <w:ilvl w:val="0"/>
          <w:numId w:val="13"/>
        </w:numPr>
        <w:kinsoku/>
        <w:wordWrap/>
        <w:overflowPunct/>
        <w:topLinePunct w:val="0"/>
        <w:autoSpaceDE/>
        <w:autoSpaceDN/>
        <w:bidi w:val="0"/>
        <w:adjustRightInd/>
        <w:snapToGrid/>
        <w:spacing w:line="360" w:lineRule="auto"/>
        <w:ind w:left="425" w:leftChars="0" w:hanging="425" w:firstLineChars="0"/>
        <w:textAlignment w:val="auto"/>
        <w:rPr>
          <w:rFonts w:hint="default" w:ascii="宋体" w:hAnsi="宋体" w:eastAsia="宋体" w:cs="宋体"/>
          <w:sz w:val="24"/>
          <w:szCs w:val="32"/>
          <w:lang w:val="en-US" w:eastAsia="zh-CN"/>
        </w:rPr>
      </w:pPr>
      <w:r>
        <w:rPr>
          <w:rFonts w:hint="eastAsia" w:ascii="宋体" w:hAnsi="宋体" w:eastAsia="宋体" w:cs="宋体"/>
          <w:sz w:val="24"/>
          <w:szCs w:val="32"/>
          <w:lang w:val="en-US" w:eastAsia="zh-CN"/>
        </w:rPr>
        <w:t>预算单位录入单位收入资金支付申请（财政代管）界面。</w:t>
      </w:r>
    </w:p>
    <w:p>
      <w:r>
        <w:drawing>
          <wp:inline distT="0" distB="0" distL="114300" distR="114300">
            <wp:extent cx="5269230" cy="2411095"/>
            <wp:effectExtent l="0" t="0" r="7620" b="8255"/>
            <wp:docPr id="31"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3"/>
                    <pic:cNvPicPr>
                      <a:picLocks noChangeAspect="1"/>
                    </pic:cNvPicPr>
                  </pic:nvPicPr>
                  <pic:blipFill>
                    <a:blip r:embed="rId27"/>
                    <a:stretch>
                      <a:fillRect/>
                    </a:stretch>
                  </pic:blipFill>
                  <pic:spPr>
                    <a:xfrm>
                      <a:off x="0" y="0"/>
                      <a:ext cx="5269230" cy="2411095"/>
                    </a:xfrm>
                    <a:prstGeom prst="rect">
                      <a:avLst/>
                    </a:prstGeom>
                    <a:noFill/>
                    <a:ln>
                      <a:noFill/>
                    </a:ln>
                  </pic:spPr>
                </pic:pic>
              </a:graphicData>
            </a:graphic>
          </wp:inline>
        </w:drawing>
      </w:r>
    </w:p>
    <w:p>
      <w:pPr>
        <w:keepNext w:val="0"/>
        <w:keepLines w:val="0"/>
        <w:pageBreakBefore w:val="0"/>
        <w:widowControl w:val="0"/>
        <w:numPr>
          <w:ilvl w:val="0"/>
          <w:numId w:val="13"/>
        </w:numPr>
        <w:kinsoku/>
        <w:wordWrap/>
        <w:overflowPunct/>
        <w:topLinePunct w:val="0"/>
        <w:autoSpaceDE/>
        <w:autoSpaceDN/>
        <w:bidi w:val="0"/>
        <w:adjustRightInd/>
        <w:snapToGrid/>
        <w:spacing w:line="360" w:lineRule="auto"/>
        <w:ind w:left="425" w:leftChars="0" w:hanging="425" w:firstLineChars="0"/>
        <w:textAlignment w:val="auto"/>
        <w:rPr>
          <w:rFonts w:hint="default" w:ascii="宋体" w:hAnsi="宋体" w:eastAsia="宋体" w:cs="宋体"/>
          <w:sz w:val="24"/>
          <w:szCs w:val="32"/>
          <w:lang w:val="en-US" w:eastAsia="zh-CN"/>
        </w:rPr>
      </w:pPr>
      <w:r>
        <w:rPr>
          <w:rFonts w:hint="eastAsia" w:ascii="宋体" w:hAnsi="宋体" w:eastAsia="宋体" w:cs="宋体"/>
          <w:sz w:val="24"/>
          <w:szCs w:val="32"/>
          <w:lang w:val="en-US" w:eastAsia="zh-CN"/>
        </w:rPr>
        <w:t>根据指标额度标识判断支付申请录入页签，示例工资额度调用工资支付申请录入页签。</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default" w:ascii="宋体" w:hAnsi="宋体" w:eastAsia="宋体" w:cs="宋体"/>
          <w:sz w:val="24"/>
          <w:szCs w:val="32"/>
          <w:lang w:val="en-US" w:eastAsia="zh-CN"/>
        </w:rPr>
      </w:pPr>
      <w:r>
        <w:drawing>
          <wp:inline distT="0" distB="0" distL="114300" distR="114300">
            <wp:extent cx="5269230" cy="2411095"/>
            <wp:effectExtent l="0" t="0" r="7620" b="8255"/>
            <wp:docPr id="3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6"/>
                    <pic:cNvPicPr>
                      <a:picLocks noChangeAspect="1"/>
                    </pic:cNvPicPr>
                  </pic:nvPicPr>
                  <pic:blipFill>
                    <a:blip r:embed="rId28"/>
                    <a:stretch>
                      <a:fillRect/>
                    </a:stretch>
                  </pic:blipFill>
                  <pic:spPr>
                    <a:xfrm>
                      <a:off x="0" y="0"/>
                      <a:ext cx="5269230" cy="2411095"/>
                    </a:xfrm>
                    <a:prstGeom prst="rect">
                      <a:avLst/>
                    </a:prstGeom>
                    <a:noFill/>
                    <a:ln>
                      <a:noFill/>
                    </a:ln>
                  </pic:spPr>
                </pic:pic>
              </a:graphicData>
            </a:graphic>
          </wp:inline>
        </w:drawing>
      </w:r>
    </w:p>
    <w:p>
      <w:pPr>
        <w:keepNext w:val="0"/>
        <w:keepLines w:val="0"/>
        <w:pageBreakBefore w:val="0"/>
        <w:widowControl w:val="0"/>
        <w:numPr>
          <w:ilvl w:val="0"/>
          <w:numId w:val="13"/>
        </w:numPr>
        <w:kinsoku/>
        <w:wordWrap/>
        <w:overflowPunct/>
        <w:topLinePunct w:val="0"/>
        <w:autoSpaceDE/>
        <w:autoSpaceDN/>
        <w:bidi w:val="0"/>
        <w:adjustRightInd/>
        <w:snapToGrid/>
        <w:spacing w:line="360" w:lineRule="auto"/>
        <w:ind w:left="425" w:leftChars="0" w:hanging="425" w:firstLineChars="0"/>
        <w:textAlignment w:val="auto"/>
        <w:rPr>
          <w:rFonts w:hint="default"/>
          <w:lang w:val="en-US" w:eastAsia="zh-CN"/>
        </w:rPr>
      </w:pPr>
      <w:r>
        <w:rPr>
          <w:rFonts w:hint="eastAsia" w:ascii="宋体" w:hAnsi="宋体" w:eastAsia="宋体" w:cs="宋体"/>
          <w:sz w:val="24"/>
          <w:szCs w:val="32"/>
          <w:lang w:val="en-US" w:eastAsia="zh-CN"/>
        </w:rPr>
        <w:t>保存完成后，进入送审、审核、签章、发送流程。</w:t>
      </w:r>
    </w:p>
    <w:p>
      <w:pPr>
        <w:pStyle w:val="5"/>
        <w:bidi w:val="0"/>
        <w:ind w:left="864" w:hanging="864"/>
        <w:rPr>
          <w:rFonts w:hint="eastAsia" w:ascii="仿宋" w:hAnsi="仿宋" w:eastAsia="仿宋" w:cs="仿宋"/>
          <w:b/>
          <w:bCs w:val="0"/>
          <w:sz w:val="24"/>
          <w:szCs w:val="22"/>
          <w:lang w:val="en-US" w:eastAsia="zh-CN"/>
        </w:rPr>
      </w:pPr>
      <w:r>
        <w:rPr>
          <w:rFonts w:hint="eastAsia" w:ascii="仿宋" w:hAnsi="仿宋" w:eastAsia="仿宋" w:cs="仿宋"/>
          <w:b/>
          <w:bCs w:val="0"/>
          <w:sz w:val="24"/>
          <w:szCs w:val="22"/>
          <w:lang w:val="en-US" w:eastAsia="zh-CN"/>
        </w:rPr>
        <w:t>单位往来资金支付-代管专户</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32"/>
          <w:highlight w:val="yellow"/>
          <w:lang w:val="en-US" w:eastAsia="zh-CN"/>
        </w:rPr>
      </w:pPr>
      <w:r>
        <w:rPr>
          <w:rFonts w:hint="eastAsia" w:ascii="宋体" w:hAnsi="宋体" w:eastAsia="宋体" w:cs="宋体"/>
          <w:sz w:val="24"/>
          <w:szCs w:val="32"/>
          <w:lang w:val="en-US" w:eastAsia="zh-CN"/>
        </w:rPr>
        <w:t>预算执行对标系统支持预算单位录入单位往来资金支付申请，实现电子化资金支付。界面显示的额度数据</w:t>
      </w:r>
      <w:r>
        <w:rPr>
          <w:rFonts w:hint="eastAsia" w:ascii="宋体" w:hAnsi="宋体" w:eastAsia="宋体" w:cs="宋体"/>
          <w:sz w:val="24"/>
          <w:szCs w:val="32"/>
          <w:highlight w:val="yellow"/>
          <w:lang w:val="en-US" w:eastAsia="zh-CN"/>
        </w:rPr>
        <w:t>账户类型为34-代管资金财政专户</w:t>
      </w:r>
      <w:r>
        <w:rPr>
          <w:rFonts w:hint="eastAsia" w:ascii="宋体" w:hAnsi="宋体" w:eastAsia="宋体" w:cs="宋体"/>
          <w:sz w:val="24"/>
          <w:szCs w:val="32"/>
          <w:lang w:val="en-US" w:eastAsia="zh-CN"/>
        </w:rPr>
        <w:t>，</w:t>
      </w:r>
      <w:r>
        <w:rPr>
          <w:rFonts w:hint="eastAsia" w:ascii="宋体" w:hAnsi="宋体" w:eastAsia="宋体" w:cs="宋体"/>
          <w:sz w:val="24"/>
          <w:szCs w:val="32"/>
          <w:highlight w:val="yellow"/>
          <w:lang w:val="en-US" w:eastAsia="zh-CN"/>
        </w:rPr>
        <w:t>支付方式为31-单位资金支付-集中</w:t>
      </w:r>
      <w:r>
        <w:rPr>
          <w:rFonts w:hint="eastAsia" w:ascii="宋体" w:hAnsi="宋体" w:eastAsia="宋体" w:cs="宋体"/>
          <w:sz w:val="24"/>
          <w:szCs w:val="32"/>
          <w:lang w:val="en-US" w:eastAsia="zh-CN"/>
        </w:rPr>
        <w:t>，</w:t>
      </w:r>
      <w:r>
        <w:rPr>
          <w:rFonts w:hint="eastAsia" w:ascii="宋体" w:hAnsi="宋体" w:eastAsia="宋体" w:cs="宋体"/>
          <w:sz w:val="24"/>
          <w:szCs w:val="32"/>
          <w:highlight w:val="yellow"/>
          <w:lang w:val="en-US" w:eastAsia="zh-CN"/>
        </w:rPr>
        <w:t>资金性质为3开头的单位资金。</w:t>
      </w:r>
    </w:p>
    <w:p>
      <w:pPr>
        <w:keepNext w:val="0"/>
        <w:keepLines w:val="0"/>
        <w:pageBreakBefore w:val="0"/>
        <w:widowControl w:val="0"/>
        <w:numPr>
          <w:ilvl w:val="0"/>
          <w:numId w:val="14"/>
        </w:numPr>
        <w:kinsoku/>
        <w:wordWrap/>
        <w:overflowPunct/>
        <w:topLinePunct w:val="0"/>
        <w:autoSpaceDE/>
        <w:autoSpaceDN/>
        <w:bidi w:val="0"/>
        <w:adjustRightInd/>
        <w:snapToGrid/>
        <w:spacing w:line="360" w:lineRule="auto"/>
        <w:ind w:left="425" w:leftChars="0" w:hanging="425" w:firstLineChars="0"/>
        <w:textAlignment w:val="auto"/>
        <w:rPr>
          <w:rFonts w:hint="default" w:ascii="宋体" w:hAnsi="宋体" w:eastAsia="宋体" w:cs="宋体"/>
          <w:sz w:val="24"/>
          <w:szCs w:val="32"/>
          <w:lang w:val="en-US" w:eastAsia="zh-CN"/>
        </w:rPr>
      </w:pPr>
      <w:r>
        <w:rPr>
          <w:rFonts w:hint="eastAsia" w:ascii="宋体" w:hAnsi="宋体" w:eastAsia="宋体" w:cs="宋体"/>
          <w:sz w:val="24"/>
          <w:szCs w:val="32"/>
          <w:lang w:val="en-US" w:eastAsia="zh-CN"/>
        </w:rPr>
        <w:t>预算单位录入单位往来资金支付申请（财政代管）界面，因是单位往来资金所以不支持工资发放业务、政府采购业务。</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default" w:ascii="宋体" w:hAnsi="宋体" w:eastAsia="宋体" w:cs="宋体"/>
          <w:sz w:val="24"/>
          <w:szCs w:val="32"/>
          <w:lang w:val="en-US" w:eastAsia="zh-CN"/>
        </w:rPr>
      </w:pPr>
      <w:r>
        <w:drawing>
          <wp:inline distT="0" distB="0" distL="114300" distR="114300">
            <wp:extent cx="5269230" cy="2411095"/>
            <wp:effectExtent l="0" t="0" r="7620" b="8255"/>
            <wp:docPr id="3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5"/>
                    <pic:cNvPicPr>
                      <a:picLocks noChangeAspect="1"/>
                    </pic:cNvPicPr>
                  </pic:nvPicPr>
                  <pic:blipFill>
                    <a:blip r:embed="rId29"/>
                    <a:stretch>
                      <a:fillRect/>
                    </a:stretch>
                  </pic:blipFill>
                  <pic:spPr>
                    <a:xfrm>
                      <a:off x="0" y="0"/>
                      <a:ext cx="5269230" cy="2411095"/>
                    </a:xfrm>
                    <a:prstGeom prst="rect">
                      <a:avLst/>
                    </a:prstGeom>
                    <a:noFill/>
                    <a:ln>
                      <a:noFill/>
                    </a:ln>
                  </pic:spPr>
                </pic:pic>
              </a:graphicData>
            </a:graphic>
          </wp:inline>
        </w:drawing>
      </w:r>
    </w:p>
    <w:p>
      <w:pPr>
        <w:keepNext w:val="0"/>
        <w:keepLines w:val="0"/>
        <w:pageBreakBefore w:val="0"/>
        <w:widowControl w:val="0"/>
        <w:numPr>
          <w:ilvl w:val="0"/>
          <w:numId w:val="14"/>
        </w:numPr>
        <w:kinsoku/>
        <w:wordWrap/>
        <w:overflowPunct/>
        <w:topLinePunct w:val="0"/>
        <w:autoSpaceDE/>
        <w:autoSpaceDN/>
        <w:bidi w:val="0"/>
        <w:adjustRightInd/>
        <w:snapToGrid/>
        <w:spacing w:line="360" w:lineRule="auto"/>
        <w:ind w:left="425" w:leftChars="0" w:hanging="425" w:firstLineChars="0"/>
        <w:textAlignment w:val="auto"/>
        <w:rPr>
          <w:rFonts w:hint="default" w:ascii="宋体" w:hAnsi="宋体" w:eastAsia="宋体" w:cs="宋体"/>
          <w:sz w:val="24"/>
          <w:szCs w:val="32"/>
          <w:lang w:val="en-US" w:eastAsia="zh-CN"/>
        </w:rPr>
      </w:pPr>
      <w:r>
        <w:rPr>
          <w:rFonts w:hint="eastAsia" w:ascii="宋体" w:hAnsi="宋体" w:eastAsia="宋体" w:cs="宋体"/>
          <w:sz w:val="24"/>
          <w:szCs w:val="32"/>
          <w:lang w:val="en-US" w:eastAsia="zh-CN"/>
        </w:rPr>
        <w:t>保存完成后，进入送审、审核、签章、发送流程。</w:t>
      </w:r>
    </w:p>
    <w:p>
      <w:pPr>
        <w:rPr>
          <w:rFonts w:hint="eastAsia"/>
          <w:lang w:val="en-US" w:eastAsia="zh-CN"/>
        </w:rPr>
      </w:pPr>
    </w:p>
    <w:p>
      <w:pPr>
        <w:pStyle w:val="4"/>
        <w:bidi w:val="0"/>
        <w:ind w:left="720" w:hanging="720"/>
        <w:rPr>
          <w:rFonts w:hint="eastAsia" w:ascii="黑体" w:hAnsi="黑体" w:eastAsia="黑体" w:cs="黑体"/>
          <w:b w:val="0"/>
          <w:bCs/>
          <w:sz w:val="28"/>
          <w:szCs w:val="22"/>
          <w:lang w:val="en-US" w:eastAsia="zh-CN"/>
        </w:rPr>
      </w:pPr>
      <w:r>
        <w:rPr>
          <w:rFonts w:hint="eastAsia" w:ascii="黑体" w:hAnsi="黑体" w:eastAsia="黑体" w:cs="黑体"/>
          <w:b w:val="0"/>
          <w:bCs/>
          <w:sz w:val="28"/>
          <w:szCs w:val="22"/>
          <w:lang w:val="en-US" w:eastAsia="zh-CN"/>
        </w:rPr>
        <w:t>单位资金支付-实有账户场景</w:t>
      </w:r>
    </w:p>
    <w:p>
      <w:pPr>
        <w:pStyle w:val="5"/>
        <w:bidi w:val="0"/>
        <w:ind w:left="864" w:hanging="864"/>
        <w:rPr>
          <w:rFonts w:hint="eastAsia" w:ascii="仿宋" w:hAnsi="仿宋" w:eastAsia="仿宋" w:cs="仿宋"/>
          <w:b/>
          <w:bCs w:val="0"/>
          <w:sz w:val="24"/>
          <w:szCs w:val="22"/>
          <w:lang w:val="en-US" w:eastAsia="zh-CN"/>
        </w:rPr>
      </w:pPr>
      <w:r>
        <w:rPr>
          <w:rFonts w:hint="eastAsia" w:ascii="仿宋" w:hAnsi="仿宋" w:eastAsia="仿宋" w:cs="仿宋"/>
          <w:b/>
          <w:bCs w:val="0"/>
          <w:sz w:val="24"/>
          <w:szCs w:val="22"/>
          <w:lang w:val="en-US" w:eastAsia="zh-CN"/>
        </w:rPr>
        <w:t>单位收入资金支付-实有账户</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32"/>
          <w:lang w:val="en-US" w:eastAsia="zh-CN"/>
        </w:rPr>
      </w:pPr>
      <w:r>
        <w:rPr>
          <w:rFonts w:hint="eastAsia" w:ascii="宋体" w:hAnsi="宋体" w:eastAsia="宋体" w:cs="宋体"/>
          <w:sz w:val="24"/>
          <w:szCs w:val="32"/>
          <w:lang w:val="en-US" w:eastAsia="zh-CN"/>
        </w:rPr>
        <w:t>预算执行对标系统支持单位资金实有账户的资金支付，界面显示的额度信息是</w:t>
      </w:r>
      <w:r>
        <w:rPr>
          <w:rFonts w:hint="eastAsia" w:ascii="宋体" w:hAnsi="宋体" w:eastAsia="宋体" w:cs="宋体"/>
          <w:sz w:val="24"/>
          <w:szCs w:val="32"/>
          <w:highlight w:val="yellow"/>
          <w:lang w:val="en-US" w:eastAsia="zh-CN"/>
        </w:rPr>
        <w:t>支付方式为32-单位资金支付-分散</w:t>
      </w:r>
      <w:r>
        <w:rPr>
          <w:rFonts w:hint="eastAsia" w:ascii="宋体" w:hAnsi="宋体" w:eastAsia="宋体" w:cs="宋体"/>
          <w:sz w:val="24"/>
          <w:szCs w:val="32"/>
          <w:lang w:val="en-US" w:eastAsia="zh-CN"/>
        </w:rPr>
        <w:t>，</w:t>
      </w:r>
      <w:r>
        <w:rPr>
          <w:rFonts w:hint="eastAsia" w:ascii="宋体" w:hAnsi="宋体" w:eastAsia="宋体" w:cs="宋体"/>
          <w:sz w:val="24"/>
          <w:szCs w:val="32"/>
          <w:highlight w:val="yellow"/>
          <w:lang w:val="en-US" w:eastAsia="zh-CN"/>
        </w:rPr>
        <w:t>资金性质为3开头的单位资金</w:t>
      </w:r>
      <w:r>
        <w:rPr>
          <w:rFonts w:hint="eastAsia" w:ascii="宋体" w:hAnsi="宋体" w:eastAsia="宋体" w:cs="宋体"/>
          <w:sz w:val="24"/>
          <w:szCs w:val="32"/>
          <w:lang w:val="en-US" w:eastAsia="zh-CN"/>
        </w:rPr>
        <w:t>。</w:t>
      </w:r>
    </w:p>
    <w:p>
      <w:pPr>
        <w:keepNext w:val="0"/>
        <w:keepLines w:val="0"/>
        <w:pageBreakBefore w:val="0"/>
        <w:widowControl w:val="0"/>
        <w:numPr>
          <w:ilvl w:val="0"/>
          <w:numId w:val="15"/>
        </w:numPr>
        <w:kinsoku/>
        <w:wordWrap/>
        <w:overflowPunct/>
        <w:topLinePunct w:val="0"/>
        <w:autoSpaceDE/>
        <w:autoSpaceDN/>
        <w:bidi w:val="0"/>
        <w:adjustRightInd/>
        <w:snapToGrid/>
        <w:spacing w:line="360" w:lineRule="auto"/>
        <w:ind w:left="425" w:leftChars="0" w:hanging="425" w:firstLineChars="0"/>
        <w:textAlignment w:val="auto"/>
        <w:rPr>
          <w:rFonts w:hint="default" w:ascii="宋体" w:hAnsi="宋体" w:eastAsia="宋体" w:cs="宋体"/>
          <w:sz w:val="24"/>
          <w:szCs w:val="32"/>
          <w:highlight w:val="none"/>
          <w:lang w:val="en-US" w:eastAsia="zh-CN"/>
        </w:rPr>
      </w:pPr>
      <w:r>
        <w:rPr>
          <w:rFonts w:hint="eastAsia" w:ascii="宋体" w:hAnsi="宋体" w:eastAsia="宋体" w:cs="宋体"/>
          <w:sz w:val="24"/>
          <w:szCs w:val="32"/>
          <w:lang w:val="en-US" w:eastAsia="zh-CN"/>
        </w:rPr>
        <w:t>通过指标额度的标识信息，判断所属业务。业务包含普通支付、政府采购、工资发放。</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pPr>
      <w:r>
        <w:drawing>
          <wp:inline distT="0" distB="0" distL="114300" distR="114300">
            <wp:extent cx="5260340" cy="1768475"/>
            <wp:effectExtent l="0" t="0" r="16510" b="3175"/>
            <wp:docPr id="26"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0"/>
                    <pic:cNvPicPr>
                      <a:picLocks noChangeAspect="1"/>
                    </pic:cNvPicPr>
                  </pic:nvPicPr>
                  <pic:blipFill>
                    <a:blip r:embed="rId30"/>
                    <a:stretch>
                      <a:fillRect/>
                    </a:stretch>
                  </pic:blipFill>
                  <pic:spPr>
                    <a:xfrm>
                      <a:off x="0" y="0"/>
                      <a:ext cx="5260340" cy="1768475"/>
                    </a:xfrm>
                    <a:prstGeom prst="rect">
                      <a:avLst/>
                    </a:prstGeom>
                    <a:noFill/>
                    <a:ln>
                      <a:noFill/>
                    </a:ln>
                  </pic:spPr>
                </pic:pic>
              </a:graphicData>
            </a:graphic>
          </wp:inline>
        </w:drawing>
      </w:r>
    </w:p>
    <w:p>
      <w:pPr>
        <w:keepNext w:val="0"/>
        <w:keepLines w:val="0"/>
        <w:pageBreakBefore w:val="0"/>
        <w:widowControl w:val="0"/>
        <w:numPr>
          <w:ilvl w:val="0"/>
          <w:numId w:val="15"/>
        </w:numPr>
        <w:kinsoku/>
        <w:wordWrap/>
        <w:overflowPunct/>
        <w:topLinePunct w:val="0"/>
        <w:autoSpaceDE/>
        <w:autoSpaceDN/>
        <w:bidi w:val="0"/>
        <w:adjustRightInd/>
        <w:snapToGrid/>
        <w:spacing w:line="360" w:lineRule="auto"/>
        <w:ind w:left="425" w:leftChars="0" w:hanging="425" w:firstLineChars="0"/>
        <w:textAlignment w:val="auto"/>
        <w:rPr>
          <w:rFonts w:hint="eastAsia" w:ascii="宋体" w:hAnsi="宋体" w:eastAsia="宋体" w:cs="宋体"/>
          <w:sz w:val="24"/>
          <w:szCs w:val="32"/>
          <w:highlight w:val="none"/>
          <w:lang w:val="en-US" w:eastAsia="zh-CN"/>
        </w:rPr>
      </w:pPr>
      <w:r>
        <w:rPr>
          <w:rFonts w:hint="eastAsia" w:ascii="宋体" w:hAnsi="宋体" w:eastAsia="宋体" w:cs="宋体"/>
          <w:sz w:val="24"/>
          <w:szCs w:val="32"/>
          <w:highlight w:val="none"/>
          <w:lang w:val="en-US" w:eastAsia="zh-CN"/>
        </w:rPr>
        <w:t>选择额度新增，</w:t>
      </w:r>
      <w:r>
        <w:rPr>
          <w:rFonts w:hint="eastAsia" w:ascii="宋体" w:hAnsi="宋体" w:eastAsia="宋体" w:cs="宋体"/>
          <w:sz w:val="24"/>
          <w:szCs w:val="32"/>
          <w:highlight w:val="yellow"/>
          <w:lang w:val="en-US" w:eastAsia="zh-CN"/>
        </w:rPr>
        <w:t>付款人信息是单位资金实有账户</w:t>
      </w:r>
      <w:r>
        <w:rPr>
          <w:rFonts w:hint="eastAsia" w:ascii="宋体" w:hAnsi="宋体" w:eastAsia="宋体" w:cs="宋体"/>
          <w:sz w:val="24"/>
          <w:szCs w:val="32"/>
          <w:highlight w:val="none"/>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pPr>
      <w:r>
        <w:drawing>
          <wp:inline distT="0" distB="0" distL="114300" distR="114300">
            <wp:extent cx="5266690" cy="2285365"/>
            <wp:effectExtent l="0" t="0" r="10160" b="635"/>
            <wp:docPr id="43"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21"/>
                    <pic:cNvPicPr>
                      <a:picLocks noChangeAspect="1"/>
                    </pic:cNvPicPr>
                  </pic:nvPicPr>
                  <pic:blipFill>
                    <a:blip r:embed="rId31"/>
                    <a:stretch>
                      <a:fillRect/>
                    </a:stretch>
                  </pic:blipFill>
                  <pic:spPr>
                    <a:xfrm>
                      <a:off x="0" y="0"/>
                      <a:ext cx="5266690" cy="2285365"/>
                    </a:xfrm>
                    <a:prstGeom prst="rect">
                      <a:avLst/>
                    </a:prstGeom>
                    <a:noFill/>
                    <a:ln>
                      <a:noFill/>
                    </a:ln>
                  </pic:spPr>
                </pic:pic>
              </a:graphicData>
            </a:graphic>
          </wp:inline>
        </w:drawing>
      </w:r>
    </w:p>
    <w:p>
      <w:pPr>
        <w:keepNext w:val="0"/>
        <w:keepLines w:val="0"/>
        <w:pageBreakBefore w:val="0"/>
        <w:widowControl w:val="0"/>
        <w:numPr>
          <w:ilvl w:val="0"/>
          <w:numId w:val="15"/>
        </w:numPr>
        <w:kinsoku/>
        <w:wordWrap/>
        <w:overflowPunct/>
        <w:topLinePunct w:val="0"/>
        <w:autoSpaceDE/>
        <w:autoSpaceDN/>
        <w:bidi w:val="0"/>
        <w:adjustRightInd/>
        <w:snapToGrid/>
        <w:spacing w:line="360" w:lineRule="auto"/>
        <w:ind w:left="425" w:leftChars="0" w:hanging="425" w:firstLineChars="0"/>
        <w:textAlignment w:val="auto"/>
        <w:rPr>
          <w:rFonts w:hint="eastAsia" w:ascii="宋体" w:hAnsi="宋体" w:eastAsia="宋体" w:cs="宋体"/>
          <w:sz w:val="24"/>
          <w:szCs w:val="32"/>
          <w:lang w:val="en-US" w:eastAsia="zh-CN"/>
        </w:rPr>
      </w:pPr>
      <w:r>
        <w:rPr>
          <w:rFonts w:hint="eastAsia" w:ascii="宋体" w:hAnsi="宋体" w:eastAsia="宋体" w:cs="宋体"/>
          <w:sz w:val="24"/>
          <w:szCs w:val="32"/>
          <w:lang w:val="en-US" w:eastAsia="zh-CN"/>
        </w:rPr>
        <w:t>保存后，进入送审、审核、打印纸质单据，线下盖章送至开户银行进行资金支付，支付完成后，在系统中进行支付凭证确认。</w:t>
      </w:r>
    </w:p>
    <w:p>
      <w:pPr>
        <w:pStyle w:val="5"/>
        <w:bidi w:val="0"/>
        <w:ind w:left="864" w:hanging="864"/>
        <w:rPr>
          <w:rFonts w:hint="eastAsia" w:ascii="仿宋" w:hAnsi="仿宋" w:eastAsia="仿宋" w:cs="仿宋"/>
          <w:b/>
          <w:bCs w:val="0"/>
          <w:sz w:val="24"/>
          <w:szCs w:val="22"/>
          <w:lang w:val="en-US" w:eastAsia="zh-CN"/>
        </w:rPr>
      </w:pPr>
      <w:r>
        <w:rPr>
          <w:rFonts w:hint="eastAsia" w:ascii="仿宋" w:hAnsi="仿宋" w:eastAsia="仿宋" w:cs="仿宋"/>
          <w:b/>
          <w:bCs w:val="0"/>
          <w:sz w:val="24"/>
          <w:szCs w:val="22"/>
          <w:lang w:val="en-US" w:eastAsia="zh-CN"/>
        </w:rPr>
        <w:t>单位往来资金支付-实有账户</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32"/>
          <w:highlight w:val="yellow"/>
          <w:lang w:val="en-US" w:eastAsia="zh-CN"/>
        </w:rPr>
      </w:pPr>
      <w:r>
        <w:rPr>
          <w:rFonts w:hint="eastAsia" w:ascii="宋体" w:hAnsi="宋体" w:eastAsia="宋体" w:cs="宋体"/>
          <w:sz w:val="24"/>
          <w:szCs w:val="32"/>
          <w:lang w:val="en-US" w:eastAsia="zh-CN"/>
        </w:rPr>
        <w:t>预算执行对标系统支持预算单位录入单位往来资金支付申请，实现电子化资金支付。界面显示的额度数据</w:t>
      </w:r>
      <w:r>
        <w:rPr>
          <w:rFonts w:hint="eastAsia" w:ascii="宋体" w:hAnsi="宋体" w:eastAsia="宋体" w:cs="宋体"/>
          <w:sz w:val="24"/>
          <w:szCs w:val="32"/>
          <w:highlight w:val="yellow"/>
          <w:lang w:val="en-US" w:eastAsia="zh-CN"/>
        </w:rPr>
        <w:t>账户类型为41-基本存款账户</w:t>
      </w:r>
      <w:r>
        <w:rPr>
          <w:rFonts w:hint="eastAsia" w:ascii="宋体" w:hAnsi="宋体" w:eastAsia="宋体" w:cs="宋体"/>
          <w:sz w:val="24"/>
          <w:szCs w:val="32"/>
          <w:lang w:val="en-US" w:eastAsia="zh-CN"/>
        </w:rPr>
        <w:t>，</w:t>
      </w:r>
      <w:r>
        <w:rPr>
          <w:rFonts w:hint="eastAsia" w:ascii="宋体" w:hAnsi="宋体" w:eastAsia="宋体" w:cs="宋体"/>
          <w:sz w:val="24"/>
          <w:szCs w:val="32"/>
          <w:highlight w:val="yellow"/>
          <w:lang w:val="en-US" w:eastAsia="zh-CN"/>
        </w:rPr>
        <w:t>支付方式为32-单位资金支付-分散</w:t>
      </w:r>
      <w:r>
        <w:rPr>
          <w:rFonts w:hint="eastAsia" w:ascii="宋体" w:hAnsi="宋体" w:eastAsia="宋体" w:cs="宋体"/>
          <w:sz w:val="24"/>
          <w:szCs w:val="32"/>
          <w:lang w:val="en-US" w:eastAsia="zh-CN"/>
        </w:rPr>
        <w:t>，</w:t>
      </w:r>
      <w:r>
        <w:rPr>
          <w:rFonts w:hint="eastAsia" w:ascii="宋体" w:hAnsi="宋体" w:eastAsia="宋体" w:cs="宋体"/>
          <w:sz w:val="24"/>
          <w:szCs w:val="32"/>
          <w:highlight w:val="yellow"/>
          <w:lang w:val="en-US" w:eastAsia="zh-CN"/>
        </w:rPr>
        <w:t>资金性质为3开头的单位资金。</w:t>
      </w:r>
    </w:p>
    <w:p>
      <w:pPr>
        <w:keepNext w:val="0"/>
        <w:keepLines w:val="0"/>
        <w:pageBreakBefore w:val="0"/>
        <w:widowControl w:val="0"/>
        <w:numPr>
          <w:ilvl w:val="0"/>
          <w:numId w:val="16"/>
        </w:numPr>
        <w:kinsoku/>
        <w:wordWrap/>
        <w:overflowPunct/>
        <w:topLinePunct w:val="0"/>
        <w:autoSpaceDE/>
        <w:autoSpaceDN/>
        <w:bidi w:val="0"/>
        <w:adjustRightInd/>
        <w:snapToGrid/>
        <w:spacing w:line="360" w:lineRule="auto"/>
        <w:ind w:left="425" w:leftChars="0" w:hanging="425" w:firstLineChars="0"/>
        <w:textAlignment w:val="auto"/>
        <w:rPr>
          <w:rFonts w:hint="default" w:ascii="宋体" w:hAnsi="宋体" w:eastAsia="宋体" w:cs="宋体"/>
          <w:sz w:val="24"/>
          <w:szCs w:val="32"/>
          <w:lang w:val="en-US" w:eastAsia="zh-CN"/>
        </w:rPr>
      </w:pPr>
      <w:r>
        <w:rPr>
          <w:rFonts w:hint="eastAsia" w:ascii="宋体" w:hAnsi="宋体" w:eastAsia="宋体" w:cs="宋体"/>
          <w:sz w:val="24"/>
          <w:szCs w:val="32"/>
          <w:lang w:val="en-US" w:eastAsia="zh-CN"/>
        </w:rPr>
        <w:t>预算单位录入单位往来资金支付申请（财政代管）界面，因是单位往来资金所以不支持工资发放业务、政府采购业务。</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default" w:ascii="宋体" w:hAnsi="宋体" w:eastAsia="宋体" w:cs="宋体"/>
          <w:sz w:val="24"/>
          <w:szCs w:val="32"/>
          <w:lang w:val="en-US" w:eastAsia="zh-CN"/>
        </w:rPr>
      </w:pPr>
      <w:r>
        <w:drawing>
          <wp:inline distT="0" distB="0" distL="114300" distR="114300">
            <wp:extent cx="5269230" cy="2098675"/>
            <wp:effectExtent l="0" t="0" r="7620" b="15875"/>
            <wp:docPr id="38"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27"/>
                    <pic:cNvPicPr>
                      <a:picLocks noChangeAspect="1"/>
                    </pic:cNvPicPr>
                  </pic:nvPicPr>
                  <pic:blipFill>
                    <a:blip r:embed="rId32"/>
                    <a:stretch>
                      <a:fillRect/>
                    </a:stretch>
                  </pic:blipFill>
                  <pic:spPr>
                    <a:xfrm>
                      <a:off x="0" y="0"/>
                      <a:ext cx="5269230" cy="2098675"/>
                    </a:xfrm>
                    <a:prstGeom prst="rect">
                      <a:avLst/>
                    </a:prstGeom>
                    <a:noFill/>
                    <a:ln>
                      <a:noFill/>
                    </a:ln>
                  </pic:spPr>
                </pic:pic>
              </a:graphicData>
            </a:graphic>
          </wp:inline>
        </w:drawing>
      </w:r>
    </w:p>
    <w:p>
      <w:pPr>
        <w:keepNext w:val="0"/>
        <w:keepLines w:val="0"/>
        <w:pageBreakBefore w:val="0"/>
        <w:widowControl w:val="0"/>
        <w:numPr>
          <w:ilvl w:val="0"/>
          <w:numId w:val="16"/>
        </w:numPr>
        <w:kinsoku/>
        <w:wordWrap/>
        <w:overflowPunct/>
        <w:topLinePunct w:val="0"/>
        <w:autoSpaceDE/>
        <w:autoSpaceDN/>
        <w:bidi w:val="0"/>
        <w:adjustRightInd/>
        <w:snapToGrid/>
        <w:spacing w:line="360" w:lineRule="auto"/>
        <w:ind w:left="425" w:leftChars="0" w:hanging="425" w:firstLineChars="0"/>
        <w:textAlignment w:val="auto"/>
        <w:rPr>
          <w:rFonts w:hint="default" w:ascii="宋体" w:hAnsi="宋体" w:eastAsia="宋体" w:cs="宋体"/>
          <w:sz w:val="24"/>
          <w:szCs w:val="32"/>
          <w:lang w:val="en-US" w:eastAsia="zh-CN"/>
        </w:rPr>
      </w:pPr>
      <w:r>
        <w:rPr>
          <w:rFonts w:hint="eastAsia" w:ascii="宋体" w:hAnsi="宋体" w:eastAsia="宋体" w:cs="宋体"/>
          <w:sz w:val="24"/>
          <w:szCs w:val="32"/>
          <w:lang w:val="en-US" w:eastAsia="zh-CN"/>
        </w:rPr>
        <w:t>保存完成后，进入送审、审核、打印纸质单据，线下盖章送至开户银行进行资金支付，支付完成后，在系统中进行支付凭证确认。</w:t>
      </w:r>
    </w:p>
    <w:p>
      <w:pPr>
        <w:rPr>
          <w:rFonts w:hint="eastAsia"/>
          <w:lang w:val="en-US" w:eastAsia="zh-CN"/>
        </w:rPr>
      </w:pPr>
    </w:p>
    <w:p>
      <w:pPr>
        <w:rPr>
          <w:rFonts w:hint="eastAsia"/>
          <w:lang w:val="en-US" w:eastAsia="zh-CN"/>
        </w:rPr>
      </w:pPr>
    </w:p>
    <w:p>
      <w:pPr>
        <w:pStyle w:val="3"/>
        <w:bidi w:val="0"/>
        <w:ind w:left="575" w:hanging="575"/>
        <w:rPr>
          <w:rFonts w:hint="eastAsia" w:ascii="仿宋" w:hAnsi="仿宋" w:eastAsia="仿宋" w:cs="仿宋"/>
          <w:b/>
          <w:bCs w:val="0"/>
          <w:sz w:val="28"/>
          <w:szCs w:val="22"/>
          <w:lang w:val="en-US" w:eastAsia="zh-CN"/>
        </w:rPr>
      </w:pPr>
      <w:r>
        <w:rPr>
          <w:rFonts w:hint="eastAsia" w:ascii="仿宋" w:hAnsi="仿宋" w:eastAsia="仿宋" w:cs="仿宋"/>
          <w:b/>
          <w:bCs w:val="0"/>
          <w:sz w:val="28"/>
          <w:szCs w:val="22"/>
          <w:lang w:val="en-US" w:eastAsia="zh-CN"/>
        </w:rPr>
        <w:t>公务卡业务</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宋体" w:hAnsi="宋体" w:eastAsia="宋体" w:cs="宋体"/>
          <w:sz w:val="24"/>
          <w:szCs w:val="32"/>
          <w:highlight w:val="none"/>
          <w:lang w:val="en-US" w:eastAsia="zh-CN"/>
        </w:rPr>
      </w:pPr>
      <w:r>
        <w:rPr>
          <w:rFonts w:hint="eastAsia" w:ascii="宋体" w:hAnsi="宋体" w:eastAsia="宋体" w:cs="宋体"/>
          <w:sz w:val="24"/>
          <w:szCs w:val="32"/>
          <w:highlight w:val="none"/>
          <w:lang w:val="en-US" w:eastAsia="zh-CN"/>
        </w:rPr>
        <w:t>预算执行对标系统公务卡业务支持政府预算资金报销和单位资金报销，两种资金的公务卡信息维护、消费明细操作都在国库集中支付（公务卡）模块下。</w:t>
      </w:r>
    </w:p>
    <w:p>
      <w:pPr>
        <w:keepNext w:val="0"/>
        <w:keepLines w:val="0"/>
        <w:pageBreakBefore w:val="0"/>
        <w:widowControl w:val="0"/>
        <w:numPr>
          <w:ilvl w:val="0"/>
          <w:numId w:val="17"/>
        </w:numPr>
        <w:kinsoku/>
        <w:wordWrap/>
        <w:overflowPunct/>
        <w:topLinePunct w:val="0"/>
        <w:autoSpaceDE/>
        <w:autoSpaceDN/>
        <w:bidi w:val="0"/>
        <w:adjustRightInd/>
        <w:snapToGrid/>
        <w:spacing w:line="360" w:lineRule="auto"/>
        <w:ind w:left="425" w:leftChars="0" w:hanging="425" w:firstLineChars="0"/>
        <w:textAlignment w:val="auto"/>
        <w:rPr>
          <w:rFonts w:hint="eastAsia" w:ascii="宋体" w:hAnsi="宋体" w:eastAsia="宋体" w:cs="宋体"/>
          <w:sz w:val="24"/>
          <w:szCs w:val="32"/>
          <w:highlight w:val="none"/>
          <w:lang w:val="en-US" w:eastAsia="zh-CN"/>
        </w:rPr>
      </w:pPr>
      <w:r>
        <w:rPr>
          <w:rFonts w:hint="eastAsia" w:ascii="宋体" w:hAnsi="宋体" w:eastAsia="宋体" w:cs="宋体"/>
          <w:sz w:val="24"/>
          <w:szCs w:val="32"/>
          <w:highlight w:val="none"/>
          <w:lang w:val="en-US" w:eastAsia="zh-CN"/>
        </w:rPr>
        <w:t>消费明细支持新增和下载，下载明细支持两种方式：消费流水和消费日期+消费金额。</w:t>
      </w:r>
    </w:p>
    <w:p>
      <w:pPr>
        <w:keepNext w:val="0"/>
        <w:keepLines w:val="0"/>
        <w:pageBreakBefore w:val="0"/>
        <w:widowControl w:val="0"/>
        <w:numPr>
          <w:ilvl w:val="0"/>
          <w:numId w:val="18"/>
        </w:numPr>
        <w:kinsoku/>
        <w:wordWrap/>
        <w:overflowPunct/>
        <w:topLinePunct w:val="0"/>
        <w:autoSpaceDE/>
        <w:autoSpaceDN/>
        <w:bidi w:val="0"/>
        <w:adjustRightInd/>
        <w:snapToGrid/>
        <w:spacing w:line="360" w:lineRule="auto"/>
        <w:ind w:left="420" w:leftChars="0" w:hanging="420" w:firstLineChars="0"/>
        <w:textAlignment w:val="auto"/>
        <w:rPr>
          <w:rFonts w:hint="eastAsia" w:ascii="宋体" w:hAnsi="宋体" w:eastAsia="宋体" w:cs="宋体"/>
          <w:sz w:val="24"/>
          <w:szCs w:val="32"/>
          <w:highlight w:val="none"/>
          <w:lang w:val="en-US" w:eastAsia="zh-CN"/>
        </w:rPr>
      </w:pPr>
      <w:r>
        <w:rPr>
          <w:rFonts w:hint="eastAsia" w:ascii="宋体" w:hAnsi="宋体" w:eastAsia="宋体" w:cs="宋体"/>
          <w:sz w:val="24"/>
          <w:szCs w:val="32"/>
          <w:highlight w:val="none"/>
          <w:lang w:val="en-US" w:eastAsia="zh-CN"/>
        </w:rPr>
        <w:t>新增消费信息明细界面：</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pPr>
      <w:r>
        <w:drawing>
          <wp:inline distT="0" distB="0" distL="114300" distR="114300">
            <wp:extent cx="5266055" cy="1818640"/>
            <wp:effectExtent l="0" t="0" r="10795" b="10160"/>
            <wp:docPr id="21"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5"/>
                    <pic:cNvPicPr>
                      <a:picLocks noChangeAspect="1"/>
                    </pic:cNvPicPr>
                  </pic:nvPicPr>
                  <pic:blipFill>
                    <a:blip r:embed="rId33"/>
                    <a:stretch>
                      <a:fillRect/>
                    </a:stretch>
                  </pic:blipFill>
                  <pic:spPr>
                    <a:xfrm>
                      <a:off x="0" y="0"/>
                      <a:ext cx="5266055" cy="1818640"/>
                    </a:xfrm>
                    <a:prstGeom prst="rect">
                      <a:avLst/>
                    </a:prstGeom>
                    <a:noFill/>
                    <a:ln>
                      <a:noFill/>
                    </a:ln>
                  </pic:spPr>
                </pic:pic>
              </a:graphicData>
            </a:graphic>
          </wp:inline>
        </w:drawing>
      </w:r>
    </w:p>
    <w:p>
      <w:pPr>
        <w:keepNext w:val="0"/>
        <w:keepLines w:val="0"/>
        <w:pageBreakBefore w:val="0"/>
        <w:widowControl w:val="0"/>
        <w:numPr>
          <w:ilvl w:val="0"/>
          <w:numId w:val="18"/>
        </w:numPr>
        <w:kinsoku/>
        <w:wordWrap/>
        <w:overflowPunct/>
        <w:topLinePunct w:val="0"/>
        <w:autoSpaceDE/>
        <w:autoSpaceDN/>
        <w:bidi w:val="0"/>
        <w:adjustRightInd/>
        <w:snapToGrid/>
        <w:spacing w:line="360" w:lineRule="auto"/>
        <w:ind w:left="420" w:leftChars="0" w:hanging="420" w:firstLineChars="0"/>
        <w:textAlignment w:val="auto"/>
        <w:rPr>
          <w:rFonts w:hint="default" w:eastAsiaTheme="minorEastAsia"/>
          <w:sz w:val="24"/>
          <w:szCs w:val="24"/>
          <w:lang w:val="en-US" w:eastAsia="zh-CN"/>
        </w:rPr>
      </w:pPr>
      <w:r>
        <w:rPr>
          <w:rFonts w:hint="eastAsia"/>
          <w:sz w:val="24"/>
          <w:szCs w:val="24"/>
          <w:lang w:val="en-US" w:eastAsia="zh-CN"/>
        </w:rPr>
        <w:t>消费信息明细下载界面：</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left"/>
        <w:textAlignment w:val="auto"/>
        <w:rPr>
          <w:rFonts w:hint="default"/>
          <w:lang w:val="en-US" w:eastAsia="zh-CN"/>
        </w:rPr>
      </w:pPr>
      <w:r>
        <w:drawing>
          <wp:inline distT="0" distB="0" distL="114300" distR="114300">
            <wp:extent cx="5267325" cy="1934845"/>
            <wp:effectExtent l="0" t="0" r="9525" b="8255"/>
            <wp:docPr id="4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4"/>
                    <pic:cNvPicPr>
                      <a:picLocks noChangeAspect="1"/>
                    </pic:cNvPicPr>
                  </pic:nvPicPr>
                  <pic:blipFill>
                    <a:blip r:embed="rId34"/>
                    <a:stretch>
                      <a:fillRect/>
                    </a:stretch>
                  </pic:blipFill>
                  <pic:spPr>
                    <a:xfrm>
                      <a:off x="0" y="0"/>
                      <a:ext cx="5267325" cy="1934845"/>
                    </a:xfrm>
                    <a:prstGeom prst="rect">
                      <a:avLst/>
                    </a:prstGeom>
                    <a:noFill/>
                    <a:ln>
                      <a:noFill/>
                    </a:ln>
                  </pic:spPr>
                </pic:pic>
              </a:graphicData>
            </a:graphic>
          </wp:inline>
        </w:drawing>
      </w:r>
    </w:p>
    <w:p>
      <w:pPr>
        <w:keepNext w:val="0"/>
        <w:keepLines w:val="0"/>
        <w:pageBreakBefore w:val="0"/>
        <w:widowControl w:val="0"/>
        <w:numPr>
          <w:ilvl w:val="0"/>
          <w:numId w:val="17"/>
        </w:numPr>
        <w:kinsoku/>
        <w:wordWrap/>
        <w:overflowPunct/>
        <w:topLinePunct w:val="0"/>
        <w:autoSpaceDE/>
        <w:autoSpaceDN/>
        <w:bidi w:val="0"/>
        <w:adjustRightInd/>
        <w:snapToGrid/>
        <w:spacing w:line="360" w:lineRule="auto"/>
        <w:ind w:left="425" w:leftChars="0" w:hanging="425" w:firstLineChars="0"/>
        <w:textAlignment w:val="auto"/>
        <w:rPr>
          <w:rFonts w:hint="eastAsia" w:ascii="宋体" w:hAnsi="宋体" w:eastAsia="宋体" w:cs="宋体"/>
          <w:sz w:val="24"/>
          <w:szCs w:val="32"/>
          <w:highlight w:val="none"/>
          <w:lang w:val="en-US" w:eastAsia="zh-CN"/>
        </w:rPr>
      </w:pPr>
      <w:r>
        <w:rPr>
          <w:rFonts w:hint="eastAsia" w:ascii="宋体" w:hAnsi="宋体" w:eastAsia="宋体" w:cs="宋体"/>
          <w:sz w:val="24"/>
          <w:szCs w:val="32"/>
          <w:highlight w:val="none"/>
          <w:lang w:val="en-US" w:eastAsia="zh-CN"/>
        </w:rPr>
        <w:t>保存后，可对消费明细进行确认报销操作，确认报销时需选择报销方式，若选择“1-国库集中支付”，则确认报销后流程进入“公务卡支付申请（国库集中支付）”，若选择“31-单位集中支付”，则确认报销后流程进入“公务卡支付申请（单位集中支付）”菜单，若选择“32-单位分散支付”，则确认报销后流程进入“公务卡支付申请（单位分散支付）”菜单。</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32"/>
          <w:highlight w:val="none"/>
          <w:lang w:val="en-US" w:eastAsia="zh-CN"/>
        </w:rPr>
      </w:pPr>
      <w:r>
        <w:drawing>
          <wp:inline distT="0" distB="0" distL="114300" distR="114300">
            <wp:extent cx="5273675" cy="1669415"/>
            <wp:effectExtent l="0" t="0" r="3175" b="6985"/>
            <wp:docPr id="45"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6"/>
                    <pic:cNvPicPr>
                      <a:picLocks noChangeAspect="1"/>
                    </pic:cNvPicPr>
                  </pic:nvPicPr>
                  <pic:blipFill>
                    <a:blip r:embed="rId35"/>
                    <a:stretch>
                      <a:fillRect/>
                    </a:stretch>
                  </pic:blipFill>
                  <pic:spPr>
                    <a:xfrm>
                      <a:off x="0" y="0"/>
                      <a:ext cx="5273675" cy="1669415"/>
                    </a:xfrm>
                    <a:prstGeom prst="rect">
                      <a:avLst/>
                    </a:prstGeom>
                    <a:noFill/>
                    <a:ln>
                      <a:noFill/>
                    </a:ln>
                  </pic:spPr>
                </pic:pic>
              </a:graphicData>
            </a:graphic>
          </wp:inline>
        </w:drawing>
      </w:r>
    </w:p>
    <w:p>
      <w:pPr>
        <w:pStyle w:val="4"/>
        <w:bidi w:val="0"/>
        <w:ind w:left="720" w:hanging="720"/>
        <w:rPr>
          <w:rFonts w:hint="eastAsia" w:ascii="黑体" w:hAnsi="黑体" w:eastAsia="黑体" w:cs="黑体"/>
          <w:b w:val="0"/>
          <w:bCs/>
          <w:sz w:val="28"/>
          <w:szCs w:val="22"/>
          <w:lang w:val="en-US" w:eastAsia="zh-CN"/>
        </w:rPr>
      </w:pPr>
      <w:r>
        <w:rPr>
          <w:rFonts w:hint="eastAsia" w:ascii="黑体" w:hAnsi="黑体" w:eastAsia="黑体" w:cs="黑体"/>
          <w:b w:val="0"/>
          <w:bCs/>
          <w:sz w:val="28"/>
          <w:szCs w:val="22"/>
          <w:lang w:val="en-US" w:eastAsia="zh-CN"/>
        </w:rPr>
        <w:t>政府预算资金报销公务卡场景</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宋体" w:hAnsi="宋体" w:eastAsia="宋体" w:cs="宋体"/>
          <w:sz w:val="24"/>
          <w:szCs w:val="32"/>
          <w:highlight w:val="none"/>
          <w:lang w:val="en-US" w:eastAsia="zh-CN"/>
        </w:rPr>
      </w:pPr>
      <w:r>
        <w:rPr>
          <w:rFonts w:hint="eastAsia" w:ascii="宋体" w:hAnsi="宋体" w:eastAsia="宋体" w:cs="宋体"/>
          <w:sz w:val="24"/>
          <w:szCs w:val="32"/>
          <w:highlight w:val="none"/>
          <w:lang w:val="en-US" w:eastAsia="zh-CN"/>
        </w:rPr>
        <w:t>公务卡支付申请生成（国库集中支付）：选择消费明细点击“支付申请”挂接额度，挂接额度界面显示的额度信息为账户类型是21-单位零余额，支付方式为1-国库集中支付，资金性质为1开头的政府预算资金。</w:t>
      </w:r>
    </w:p>
    <w:p>
      <w:pPr>
        <w:keepNext w:val="0"/>
        <w:keepLines w:val="0"/>
        <w:pageBreakBefore w:val="0"/>
        <w:widowControl w:val="0"/>
        <w:numPr>
          <w:ilvl w:val="0"/>
          <w:numId w:val="19"/>
        </w:numPr>
        <w:kinsoku/>
        <w:wordWrap/>
        <w:overflowPunct/>
        <w:topLinePunct w:val="0"/>
        <w:autoSpaceDE/>
        <w:autoSpaceDN/>
        <w:bidi w:val="0"/>
        <w:adjustRightInd/>
        <w:snapToGrid/>
        <w:spacing w:line="360" w:lineRule="auto"/>
        <w:ind w:left="425" w:leftChars="0" w:hanging="425" w:firstLineChars="0"/>
        <w:textAlignment w:val="auto"/>
        <w:rPr>
          <w:rFonts w:hint="eastAsia" w:ascii="宋体" w:hAnsi="宋体" w:eastAsia="宋体" w:cs="宋体"/>
          <w:sz w:val="24"/>
          <w:szCs w:val="32"/>
          <w:highlight w:val="none"/>
          <w:lang w:val="en-US" w:eastAsia="zh-CN"/>
        </w:rPr>
      </w:pPr>
      <w:r>
        <w:rPr>
          <w:rFonts w:hint="eastAsia" w:ascii="宋体" w:hAnsi="宋体" w:eastAsia="宋体" w:cs="宋体"/>
          <w:sz w:val="24"/>
          <w:szCs w:val="32"/>
          <w:highlight w:val="none"/>
          <w:lang w:val="en-US" w:eastAsia="zh-CN"/>
        </w:rPr>
        <w:t>选择挂接额度信息，只能选择一条额度信息，</w:t>
      </w:r>
      <w:r>
        <w:rPr>
          <w:rFonts w:hint="eastAsia" w:ascii="宋体" w:hAnsi="宋体" w:eastAsia="宋体" w:cs="宋体"/>
          <w:sz w:val="24"/>
          <w:szCs w:val="32"/>
          <w:highlight w:val="yellow"/>
          <w:lang w:val="en-US" w:eastAsia="zh-CN"/>
        </w:rPr>
        <w:t>收款人信息默认为单位零余额账户信息</w:t>
      </w:r>
      <w:r>
        <w:rPr>
          <w:rFonts w:hint="eastAsia" w:ascii="宋体" w:hAnsi="宋体" w:eastAsia="宋体" w:cs="宋体"/>
          <w:sz w:val="24"/>
          <w:szCs w:val="32"/>
          <w:highlight w:val="none"/>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宋体" w:hAnsi="宋体" w:eastAsia="宋体" w:cs="宋体"/>
          <w:sz w:val="24"/>
          <w:szCs w:val="32"/>
          <w:highlight w:val="none"/>
          <w:lang w:val="en-US" w:eastAsia="zh-CN"/>
        </w:rPr>
      </w:pPr>
      <w:r>
        <w:drawing>
          <wp:inline distT="0" distB="0" distL="114300" distR="114300">
            <wp:extent cx="5271770" cy="2773045"/>
            <wp:effectExtent l="0" t="0" r="5080" b="8255"/>
            <wp:docPr id="46"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7"/>
                    <pic:cNvPicPr>
                      <a:picLocks noChangeAspect="1"/>
                    </pic:cNvPicPr>
                  </pic:nvPicPr>
                  <pic:blipFill>
                    <a:blip r:embed="rId36"/>
                    <a:stretch>
                      <a:fillRect/>
                    </a:stretch>
                  </pic:blipFill>
                  <pic:spPr>
                    <a:xfrm>
                      <a:off x="0" y="0"/>
                      <a:ext cx="5271770" cy="2773045"/>
                    </a:xfrm>
                    <a:prstGeom prst="rect">
                      <a:avLst/>
                    </a:prstGeom>
                    <a:noFill/>
                    <a:ln>
                      <a:noFill/>
                    </a:ln>
                  </pic:spPr>
                </pic:pic>
              </a:graphicData>
            </a:graphic>
          </wp:inline>
        </w:drawing>
      </w:r>
    </w:p>
    <w:p>
      <w:pPr>
        <w:keepNext w:val="0"/>
        <w:keepLines w:val="0"/>
        <w:pageBreakBefore w:val="0"/>
        <w:widowControl w:val="0"/>
        <w:numPr>
          <w:ilvl w:val="0"/>
          <w:numId w:val="19"/>
        </w:numPr>
        <w:kinsoku/>
        <w:wordWrap/>
        <w:overflowPunct/>
        <w:topLinePunct w:val="0"/>
        <w:autoSpaceDE/>
        <w:autoSpaceDN/>
        <w:bidi w:val="0"/>
        <w:adjustRightInd/>
        <w:snapToGrid/>
        <w:spacing w:line="360" w:lineRule="auto"/>
        <w:ind w:left="425" w:leftChars="0" w:hanging="425" w:firstLineChars="0"/>
        <w:textAlignment w:val="auto"/>
        <w:rPr>
          <w:rFonts w:hint="default" w:ascii="宋体" w:hAnsi="宋体" w:eastAsia="宋体" w:cs="宋体"/>
          <w:sz w:val="24"/>
          <w:szCs w:val="32"/>
          <w:highlight w:val="none"/>
          <w:lang w:val="en-US" w:eastAsia="zh-CN"/>
        </w:rPr>
      </w:pPr>
      <w:r>
        <w:rPr>
          <w:rFonts w:hint="eastAsia" w:ascii="宋体" w:hAnsi="宋体" w:eastAsia="宋体" w:cs="宋体"/>
          <w:sz w:val="24"/>
          <w:szCs w:val="32"/>
          <w:highlight w:val="none"/>
          <w:lang w:val="en-US" w:eastAsia="zh-CN"/>
        </w:rPr>
        <w:t>点击保存、送审后，数据进入“国库集中支付（资金支付）”模块下的“国库集中支付申请审核（单位）”菜单，审核通过后进入签章，发送流程。</w:t>
      </w:r>
    </w:p>
    <w:p>
      <w:pPr>
        <w:pStyle w:val="4"/>
        <w:bidi w:val="0"/>
        <w:ind w:left="720" w:hanging="720"/>
        <w:rPr>
          <w:rFonts w:hint="eastAsia" w:ascii="黑体" w:hAnsi="黑体" w:eastAsia="黑体" w:cs="黑体"/>
          <w:b w:val="0"/>
          <w:bCs/>
          <w:sz w:val="28"/>
          <w:szCs w:val="22"/>
          <w:lang w:val="en-US" w:eastAsia="zh-CN"/>
        </w:rPr>
      </w:pPr>
      <w:r>
        <w:rPr>
          <w:rFonts w:hint="eastAsia" w:ascii="黑体" w:hAnsi="黑体" w:eastAsia="黑体" w:cs="黑体"/>
          <w:b w:val="0"/>
          <w:bCs/>
          <w:sz w:val="28"/>
          <w:szCs w:val="22"/>
          <w:lang w:val="en-US" w:eastAsia="zh-CN"/>
        </w:rPr>
        <w:t>单位资金报销公务卡场景</w:t>
      </w:r>
    </w:p>
    <w:p>
      <w:pPr>
        <w:pStyle w:val="5"/>
        <w:bidi w:val="0"/>
        <w:ind w:left="864" w:hanging="864"/>
        <w:rPr>
          <w:rFonts w:hint="eastAsia" w:ascii="仿宋" w:hAnsi="仿宋" w:eastAsia="仿宋" w:cs="仿宋"/>
          <w:b/>
          <w:bCs w:val="0"/>
          <w:sz w:val="24"/>
          <w:szCs w:val="22"/>
          <w:lang w:val="en-US" w:eastAsia="zh-CN"/>
        </w:rPr>
      </w:pPr>
      <w:r>
        <w:rPr>
          <w:rFonts w:hint="eastAsia" w:ascii="仿宋" w:hAnsi="仿宋" w:eastAsia="仿宋" w:cs="仿宋"/>
          <w:b/>
          <w:bCs w:val="0"/>
          <w:sz w:val="24"/>
          <w:szCs w:val="22"/>
          <w:lang w:val="en-US" w:eastAsia="zh-CN"/>
        </w:rPr>
        <w:t>单位资金代管专户报销公务卡场景</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宋体" w:hAnsi="宋体" w:eastAsia="宋体" w:cs="宋体"/>
          <w:sz w:val="24"/>
          <w:szCs w:val="32"/>
          <w:highlight w:val="none"/>
          <w:lang w:val="en-US" w:eastAsia="zh-CN"/>
        </w:rPr>
      </w:pPr>
      <w:r>
        <w:rPr>
          <w:rFonts w:hint="eastAsia" w:ascii="宋体" w:hAnsi="宋体" w:eastAsia="宋体" w:cs="宋体"/>
          <w:sz w:val="24"/>
          <w:szCs w:val="32"/>
          <w:highlight w:val="none"/>
          <w:lang w:val="en-US" w:eastAsia="zh-CN"/>
        </w:rPr>
        <w:t>公务卡支付申请生成（单位集中支付）：进入菜单，选择消费明细点击“支付申请”挂接额度，界面显示的额度信息为账户类型是21-单位零余额，支付方式为31-单位资金支付-集中，资金性质为3开头的单位资金。</w:t>
      </w:r>
    </w:p>
    <w:p>
      <w:pPr>
        <w:keepNext w:val="0"/>
        <w:keepLines w:val="0"/>
        <w:pageBreakBefore w:val="0"/>
        <w:widowControl w:val="0"/>
        <w:numPr>
          <w:ilvl w:val="0"/>
          <w:numId w:val="20"/>
        </w:numPr>
        <w:kinsoku/>
        <w:wordWrap/>
        <w:overflowPunct/>
        <w:topLinePunct w:val="0"/>
        <w:autoSpaceDE/>
        <w:autoSpaceDN/>
        <w:bidi w:val="0"/>
        <w:adjustRightInd/>
        <w:snapToGrid/>
        <w:spacing w:line="360" w:lineRule="auto"/>
        <w:ind w:left="425" w:leftChars="0" w:hanging="425" w:firstLineChars="0"/>
        <w:textAlignment w:val="auto"/>
        <w:rPr>
          <w:rFonts w:hint="eastAsia" w:ascii="宋体" w:hAnsi="宋体" w:eastAsia="宋体" w:cs="宋体"/>
          <w:sz w:val="24"/>
          <w:szCs w:val="32"/>
          <w:highlight w:val="none"/>
          <w:lang w:val="en-US" w:eastAsia="zh-CN"/>
        </w:rPr>
      </w:pPr>
      <w:r>
        <w:rPr>
          <w:rFonts w:hint="eastAsia" w:ascii="宋体" w:hAnsi="宋体" w:eastAsia="宋体" w:cs="宋体"/>
          <w:sz w:val="24"/>
          <w:szCs w:val="32"/>
          <w:highlight w:val="none"/>
          <w:lang w:val="en-US" w:eastAsia="zh-CN"/>
        </w:rPr>
        <w:t>选择要挂接的额度信息，只能选择一条额度信息，</w:t>
      </w:r>
      <w:r>
        <w:rPr>
          <w:rFonts w:hint="eastAsia" w:ascii="宋体" w:hAnsi="宋体" w:eastAsia="宋体" w:cs="宋体"/>
          <w:sz w:val="24"/>
          <w:szCs w:val="32"/>
          <w:highlight w:val="yellow"/>
          <w:lang w:val="en-US" w:eastAsia="zh-CN"/>
        </w:rPr>
        <w:t>收款人信息默认为单位零余额账户信息</w:t>
      </w:r>
      <w:r>
        <w:rPr>
          <w:rFonts w:hint="eastAsia" w:ascii="宋体" w:hAnsi="宋体" w:eastAsia="宋体" w:cs="宋体"/>
          <w:sz w:val="24"/>
          <w:szCs w:val="32"/>
          <w:highlight w:val="none"/>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default" w:ascii="宋体" w:hAnsi="宋体" w:eastAsia="宋体" w:cs="宋体"/>
          <w:sz w:val="24"/>
          <w:szCs w:val="32"/>
          <w:highlight w:val="none"/>
          <w:lang w:val="en-US" w:eastAsia="zh-CN"/>
        </w:rPr>
      </w:pPr>
      <w:r>
        <w:drawing>
          <wp:inline distT="0" distB="0" distL="114300" distR="114300">
            <wp:extent cx="5264150" cy="2388235"/>
            <wp:effectExtent l="0" t="0" r="12700" b="12065"/>
            <wp:docPr id="47"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8"/>
                    <pic:cNvPicPr>
                      <a:picLocks noChangeAspect="1"/>
                    </pic:cNvPicPr>
                  </pic:nvPicPr>
                  <pic:blipFill>
                    <a:blip r:embed="rId37"/>
                    <a:stretch>
                      <a:fillRect/>
                    </a:stretch>
                  </pic:blipFill>
                  <pic:spPr>
                    <a:xfrm>
                      <a:off x="0" y="0"/>
                      <a:ext cx="5264150" cy="2388235"/>
                    </a:xfrm>
                    <a:prstGeom prst="rect">
                      <a:avLst/>
                    </a:prstGeom>
                    <a:noFill/>
                    <a:ln>
                      <a:noFill/>
                    </a:ln>
                  </pic:spPr>
                </pic:pic>
              </a:graphicData>
            </a:graphic>
          </wp:inline>
        </w:drawing>
      </w:r>
    </w:p>
    <w:p>
      <w:pPr>
        <w:keepNext w:val="0"/>
        <w:keepLines w:val="0"/>
        <w:pageBreakBefore w:val="0"/>
        <w:widowControl w:val="0"/>
        <w:numPr>
          <w:ilvl w:val="0"/>
          <w:numId w:val="20"/>
        </w:numPr>
        <w:kinsoku/>
        <w:wordWrap/>
        <w:overflowPunct/>
        <w:topLinePunct w:val="0"/>
        <w:autoSpaceDE/>
        <w:autoSpaceDN/>
        <w:bidi w:val="0"/>
        <w:adjustRightInd/>
        <w:snapToGrid/>
        <w:spacing w:line="360" w:lineRule="auto"/>
        <w:ind w:left="425" w:leftChars="0" w:hanging="425" w:firstLineChars="0"/>
        <w:textAlignment w:val="auto"/>
        <w:rPr>
          <w:rFonts w:hint="eastAsia" w:ascii="宋体" w:hAnsi="宋体" w:eastAsia="宋体" w:cs="宋体"/>
          <w:sz w:val="24"/>
          <w:szCs w:val="32"/>
          <w:highlight w:val="none"/>
          <w:lang w:val="en-US" w:eastAsia="zh-CN"/>
        </w:rPr>
      </w:pPr>
      <w:r>
        <w:rPr>
          <w:rFonts w:hint="eastAsia" w:ascii="宋体" w:hAnsi="宋体" w:eastAsia="宋体" w:cs="宋体"/>
          <w:sz w:val="24"/>
          <w:szCs w:val="32"/>
          <w:highlight w:val="none"/>
          <w:lang w:val="en-US" w:eastAsia="zh-CN"/>
        </w:rPr>
        <w:t>点击保存、送审后，流程进入“单位资金支付（财政代管）”模块下的“单位资金支付申请审核（单位）”菜单，审核通过后进入签章，发送流程。</w:t>
      </w:r>
    </w:p>
    <w:p>
      <w:pPr>
        <w:pStyle w:val="5"/>
        <w:bidi w:val="0"/>
        <w:ind w:left="864" w:hanging="864"/>
        <w:rPr>
          <w:rFonts w:hint="eastAsia" w:ascii="仿宋" w:hAnsi="仿宋" w:eastAsia="仿宋" w:cs="仿宋"/>
          <w:b/>
          <w:bCs w:val="0"/>
          <w:sz w:val="24"/>
          <w:szCs w:val="22"/>
          <w:lang w:val="en-US" w:eastAsia="zh-CN"/>
        </w:rPr>
      </w:pPr>
      <w:r>
        <w:rPr>
          <w:rFonts w:hint="eastAsia" w:ascii="仿宋" w:hAnsi="仿宋" w:eastAsia="仿宋" w:cs="仿宋"/>
          <w:b/>
          <w:bCs w:val="0"/>
          <w:sz w:val="24"/>
          <w:szCs w:val="22"/>
          <w:lang w:val="en-US" w:eastAsia="zh-CN"/>
        </w:rPr>
        <w:t>单位资金实有账户报销公务卡场景</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宋体" w:hAnsi="宋体" w:eastAsia="宋体" w:cs="宋体"/>
          <w:sz w:val="24"/>
          <w:szCs w:val="32"/>
          <w:highlight w:val="none"/>
          <w:lang w:val="en-US" w:eastAsia="zh-CN"/>
        </w:rPr>
      </w:pPr>
      <w:r>
        <w:rPr>
          <w:rFonts w:hint="eastAsia" w:ascii="宋体" w:hAnsi="宋体" w:eastAsia="宋体" w:cs="宋体"/>
          <w:sz w:val="24"/>
          <w:szCs w:val="32"/>
          <w:highlight w:val="none"/>
          <w:lang w:val="en-US" w:eastAsia="zh-CN"/>
        </w:rPr>
        <w:t>公务卡支付申请生成（单位分散支付）：进入菜单，选择消费明细点击“支付申请”挂接额度，界面显示的额度信息是支付方式为32-单位资金支付-分散，资金性质为3开头的单位资金。</w:t>
      </w:r>
    </w:p>
    <w:p>
      <w:pPr>
        <w:keepNext w:val="0"/>
        <w:keepLines w:val="0"/>
        <w:pageBreakBefore w:val="0"/>
        <w:widowControl w:val="0"/>
        <w:numPr>
          <w:ilvl w:val="0"/>
          <w:numId w:val="21"/>
        </w:numPr>
        <w:kinsoku/>
        <w:wordWrap/>
        <w:overflowPunct/>
        <w:topLinePunct w:val="0"/>
        <w:autoSpaceDE/>
        <w:autoSpaceDN/>
        <w:bidi w:val="0"/>
        <w:adjustRightInd/>
        <w:snapToGrid/>
        <w:spacing w:line="360" w:lineRule="auto"/>
        <w:ind w:left="425" w:leftChars="0" w:hanging="425" w:firstLineChars="0"/>
        <w:textAlignment w:val="auto"/>
        <w:rPr>
          <w:rFonts w:hint="eastAsia" w:ascii="宋体" w:hAnsi="宋体" w:eastAsia="宋体" w:cs="宋体"/>
          <w:sz w:val="24"/>
          <w:szCs w:val="32"/>
          <w:highlight w:val="none"/>
          <w:lang w:val="en-US" w:eastAsia="zh-CN"/>
        </w:rPr>
      </w:pPr>
      <w:r>
        <w:rPr>
          <w:rFonts w:hint="eastAsia" w:ascii="宋体" w:hAnsi="宋体" w:eastAsia="宋体" w:cs="宋体"/>
          <w:sz w:val="24"/>
          <w:szCs w:val="32"/>
          <w:highlight w:val="none"/>
          <w:lang w:val="en-US" w:eastAsia="zh-CN"/>
        </w:rPr>
        <w:t>选择要挂接的额度信息，只能选择一条额度信息，</w:t>
      </w:r>
      <w:r>
        <w:rPr>
          <w:rFonts w:hint="eastAsia" w:ascii="宋体" w:hAnsi="宋体" w:eastAsia="宋体" w:cs="宋体"/>
          <w:sz w:val="24"/>
          <w:szCs w:val="32"/>
          <w:highlight w:val="yellow"/>
          <w:lang w:val="en-US" w:eastAsia="zh-CN"/>
        </w:rPr>
        <w:t>收款人信息默认为单位零余额账户信息</w:t>
      </w:r>
      <w:r>
        <w:rPr>
          <w:rFonts w:hint="eastAsia" w:ascii="宋体" w:hAnsi="宋体" w:eastAsia="宋体" w:cs="宋体"/>
          <w:sz w:val="24"/>
          <w:szCs w:val="32"/>
          <w:highlight w:val="none"/>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宋体" w:hAnsi="宋体" w:eastAsia="宋体" w:cs="宋体"/>
          <w:sz w:val="24"/>
          <w:szCs w:val="32"/>
          <w:highlight w:val="none"/>
          <w:lang w:val="en-US" w:eastAsia="zh-CN"/>
        </w:rPr>
      </w:pPr>
      <w:r>
        <w:drawing>
          <wp:inline distT="0" distB="0" distL="114300" distR="114300">
            <wp:extent cx="5266690" cy="2563495"/>
            <wp:effectExtent l="0" t="0" r="10160" b="8255"/>
            <wp:docPr id="48"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9"/>
                    <pic:cNvPicPr>
                      <a:picLocks noChangeAspect="1"/>
                    </pic:cNvPicPr>
                  </pic:nvPicPr>
                  <pic:blipFill>
                    <a:blip r:embed="rId38"/>
                    <a:stretch>
                      <a:fillRect/>
                    </a:stretch>
                  </pic:blipFill>
                  <pic:spPr>
                    <a:xfrm>
                      <a:off x="0" y="0"/>
                      <a:ext cx="5266690" cy="2563495"/>
                    </a:xfrm>
                    <a:prstGeom prst="rect">
                      <a:avLst/>
                    </a:prstGeom>
                    <a:noFill/>
                    <a:ln>
                      <a:noFill/>
                    </a:ln>
                  </pic:spPr>
                </pic:pic>
              </a:graphicData>
            </a:graphic>
          </wp:inline>
        </w:drawing>
      </w:r>
    </w:p>
    <w:p>
      <w:pPr>
        <w:keepNext w:val="0"/>
        <w:keepLines w:val="0"/>
        <w:pageBreakBefore w:val="0"/>
        <w:widowControl w:val="0"/>
        <w:numPr>
          <w:ilvl w:val="0"/>
          <w:numId w:val="21"/>
        </w:numPr>
        <w:kinsoku/>
        <w:wordWrap/>
        <w:overflowPunct/>
        <w:topLinePunct w:val="0"/>
        <w:autoSpaceDE/>
        <w:autoSpaceDN/>
        <w:bidi w:val="0"/>
        <w:adjustRightInd/>
        <w:snapToGrid/>
        <w:spacing w:line="360" w:lineRule="auto"/>
        <w:ind w:left="425" w:leftChars="0" w:hanging="425" w:firstLineChars="0"/>
        <w:textAlignment w:val="auto"/>
        <w:rPr>
          <w:rFonts w:hint="eastAsia" w:ascii="宋体" w:hAnsi="宋体" w:eastAsia="宋体" w:cs="宋体"/>
          <w:sz w:val="24"/>
          <w:szCs w:val="32"/>
          <w:highlight w:val="none"/>
          <w:lang w:val="en-US" w:eastAsia="zh-CN"/>
        </w:rPr>
      </w:pPr>
      <w:r>
        <w:rPr>
          <w:rFonts w:hint="eastAsia" w:ascii="宋体" w:hAnsi="宋体" w:eastAsia="宋体" w:cs="宋体"/>
          <w:sz w:val="24"/>
          <w:szCs w:val="32"/>
          <w:highlight w:val="none"/>
          <w:lang w:val="en-US" w:eastAsia="zh-CN"/>
        </w:rPr>
        <w:t>点击保存、送审后，数据进入“单位资金支付（单位实户）”模块下的“单位资金支付申请审核（单位）”菜单，后续流程同“单位资金支付（单位实户）”模块下普通的单位资金支付申请流程一致。</w:t>
      </w:r>
    </w:p>
    <w:p>
      <w:pPr>
        <w:pStyle w:val="3"/>
        <w:bidi w:val="0"/>
        <w:ind w:left="575" w:hanging="575"/>
        <w:rPr>
          <w:rFonts w:hint="eastAsia" w:ascii="仿宋" w:hAnsi="仿宋" w:eastAsia="仿宋" w:cs="仿宋"/>
          <w:b/>
          <w:bCs w:val="0"/>
          <w:sz w:val="28"/>
          <w:szCs w:val="22"/>
          <w:lang w:val="en-US" w:eastAsia="zh-CN"/>
        </w:rPr>
      </w:pPr>
      <w:r>
        <w:rPr>
          <w:rFonts w:hint="eastAsia" w:ascii="仿宋" w:hAnsi="仿宋" w:eastAsia="仿宋" w:cs="仿宋"/>
          <w:b/>
          <w:bCs w:val="0"/>
          <w:sz w:val="28"/>
          <w:szCs w:val="22"/>
          <w:lang w:val="en-US" w:eastAsia="zh-CN"/>
        </w:rPr>
        <w:t>社保缴费业务</w:t>
      </w:r>
    </w:p>
    <w:p>
      <w:pPr>
        <w:pStyle w:val="4"/>
        <w:bidi w:val="0"/>
        <w:ind w:left="720" w:hanging="720"/>
        <w:rPr>
          <w:rFonts w:hint="eastAsia" w:ascii="黑体" w:hAnsi="黑体" w:eastAsia="黑体" w:cs="黑体"/>
          <w:b w:val="0"/>
          <w:bCs/>
          <w:sz w:val="28"/>
          <w:szCs w:val="22"/>
          <w:lang w:val="en-US" w:eastAsia="zh-CN"/>
        </w:rPr>
      </w:pPr>
      <w:r>
        <w:rPr>
          <w:rFonts w:hint="eastAsia" w:ascii="黑体" w:hAnsi="黑体" w:eastAsia="黑体" w:cs="黑体"/>
          <w:b w:val="0"/>
          <w:bCs/>
          <w:sz w:val="28"/>
          <w:szCs w:val="22"/>
          <w:lang w:val="en-US" w:eastAsia="zh-CN"/>
        </w:rPr>
        <w:t>政府预算资金缴纳社会保险场景</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32"/>
          <w:highlight w:val="none"/>
          <w:lang w:val="en-US" w:eastAsia="zh-CN"/>
        </w:rPr>
      </w:pPr>
      <w:r>
        <w:rPr>
          <w:rFonts w:hint="eastAsia" w:ascii="宋体" w:hAnsi="宋体" w:eastAsia="宋体" w:cs="宋体"/>
          <w:sz w:val="24"/>
          <w:szCs w:val="32"/>
          <w:lang w:val="en-US" w:eastAsia="zh-CN"/>
        </w:rPr>
        <w:t>预算执行对标系统支持预算单位录入政府预算资金缴纳社会保险，界面显示额度的</w:t>
      </w:r>
      <w:r>
        <w:rPr>
          <w:rFonts w:hint="eastAsia" w:ascii="宋体" w:hAnsi="宋体" w:eastAsia="宋体" w:cs="宋体"/>
          <w:sz w:val="24"/>
          <w:szCs w:val="32"/>
          <w:highlight w:val="none"/>
          <w:lang w:val="en-US" w:eastAsia="zh-CN"/>
        </w:rPr>
        <w:t>账户类型为21-单位零余额，支付方式为1-国库集中支付，资金性质为1开头的政府预算资金。</w:t>
      </w:r>
    </w:p>
    <w:p>
      <w:pPr>
        <w:keepNext w:val="0"/>
        <w:keepLines w:val="0"/>
        <w:pageBreakBefore w:val="0"/>
        <w:widowControl w:val="0"/>
        <w:numPr>
          <w:ilvl w:val="0"/>
          <w:numId w:val="22"/>
        </w:numPr>
        <w:kinsoku/>
        <w:wordWrap/>
        <w:overflowPunct/>
        <w:topLinePunct w:val="0"/>
        <w:autoSpaceDE/>
        <w:autoSpaceDN/>
        <w:bidi w:val="0"/>
        <w:adjustRightInd/>
        <w:snapToGrid/>
        <w:spacing w:line="360" w:lineRule="auto"/>
        <w:ind w:left="425" w:leftChars="0" w:hanging="425" w:firstLineChars="0"/>
        <w:textAlignment w:val="auto"/>
        <w:rPr>
          <w:rFonts w:hint="default" w:ascii="宋体" w:hAnsi="宋体" w:eastAsia="宋体" w:cs="宋体"/>
          <w:sz w:val="24"/>
          <w:szCs w:val="32"/>
          <w:lang w:val="en-US" w:eastAsia="zh-CN"/>
        </w:rPr>
      </w:pPr>
      <w:r>
        <w:rPr>
          <w:rFonts w:hint="eastAsia" w:ascii="宋体" w:hAnsi="宋体" w:eastAsia="宋体" w:cs="宋体"/>
          <w:sz w:val="24"/>
          <w:szCs w:val="32"/>
          <w:lang w:val="en-US" w:eastAsia="zh-CN"/>
        </w:rPr>
        <w:t>界面展示的额度只包含普通的政府预算资金额度信息，不包含政府采购、三公经费、工会经费、工资发放的额度信息。</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pPr>
      <w:r>
        <w:drawing>
          <wp:inline distT="0" distB="0" distL="114300" distR="114300">
            <wp:extent cx="5272405" cy="1598930"/>
            <wp:effectExtent l="0" t="0" r="4445" b="1270"/>
            <wp:docPr id="33"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7"/>
                    <pic:cNvPicPr>
                      <a:picLocks noChangeAspect="1"/>
                    </pic:cNvPicPr>
                  </pic:nvPicPr>
                  <pic:blipFill>
                    <a:blip r:embed="rId39"/>
                    <a:stretch>
                      <a:fillRect/>
                    </a:stretch>
                  </pic:blipFill>
                  <pic:spPr>
                    <a:xfrm>
                      <a:off x="0" y="0"/>
                      <a:ext cx="5272405" cy="1598930"/>
                    </a:xfrm>
                    <a:prstGeom prst="rect">
                      <a:avLst/>
                    </a:prstGeom>
                    <a:noFill/>
                    <a:ln>
                      <a:noFill/>
                    </a:ln>
                  </pic:spPr>
                </pic:pic>
              </a:graphicData>
            </a:graphic>
          </wp:inline>
        </w:drawing>
      </w:r>
    </w:p>
    <w:p>
      <w:pPr>
        <w:keepNext w:val="0"/>
        <w:keepLines w:val="0"/>
        <w:pageBreakBefore w:val="0"/>
        <w:widowControl w:val="0"/>
        <w:numPr>
          <w:ilvl w:val="0"/>
          <w:numId w:val="22"/>
        </w:numPr>
        <w:kinsoku/>
        <w:wordWrap/>
        <w:overflowPunct/>
        <w:topLinePunct w:val="0"/>
        <w:autoSpaceDE/>
        <w:autoSpaceDN/>
        <w:bidi w:val="0"/>
        <w:adjustRightInd/>
        <w:snapToGrid/>
        <w:spacing w:line="360" w:lineRule="auto"/>
        <w:ind w:left="425" w:leftChars="0" w:hanging="425" w:firstLineChars="0"/>
        <w:textAlignment w:val="auto"/>
        <w:rPr>
          <w:rFonts w:hint="default" w:ascii="宋体" w:hAnsi="宋体" w:eastAsia="宋体" w:cs="宋体"/>
          <w:sz w:val="24"/>
          <w:szCs w:val="32"/>
          <w:lang w:val="en-US" w:eastAsia="zh-CN"/>
        </w:rPr>
      </w:pPr>
      <w:r>
        <w:rPr>
          <w:rFonts w:hint="eastAsia" w:ascii="宋体" w:hAnsi="宋体" w:eastAsia="宋体" w:cs="宋体"/>
          <w:sz w:val="24"/>
          <w:szCs w:val="32"/>
          <w:lang w:val="en-US" w:eastAsia="zh-CN"/>
        </w:rPr>
        <w:t>选择额度信息进行支付录入，</w:t>
      </w:r>
      <w:r>
        <w:rPr>
          <w:rFonts w:hint="eastAsia" w:ascii="宋体" w:hAnsi="宋体" w:eastAsia="宋体" w:cs="宋体"/>
          <w:sz w:val="24"/>
          <w:szCs w:val="32"/>
          <w:highlight w:val="yellow"/>
          <w:lang w:val="en-US" w:eastAsia="zh-CN"/>
        </w:rPr>
        <w:t>付款人、收款人默认为零余额账户信息</w:t>
      </w:r>
      <w:r>
        <w:rPr>
          <w:rFonts w:hint="eastAsia" w:ascii="宋体" w:hAnsi="宋体" w:eastAsia="宋体" w:cs="宋体"/>
          <w:sz w:val="24"/>
          <w:szCs w:val="32"/>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pPr>
      <w:r>
        <w:drawing>
          <wp:inline distT="0" distB="0" distL="114300" distR="114300">
            <wp:extent cx="5266690" cy="2263140"/>
            <wp:effectExtent l="0" t="0" r="10160" b="3810"/>
            <wp:docPr id="49"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22"/>
                    <pic:cNvPicPr>
                      <a:picLocks noChangeAspect="1"/>
                    </pic:cNvPicPr>
                  </pic:nvPicPr>
                  <pic:blipFill>
                    <a:blip r:embed="rId40"/>
                    <a:stretch>
                      <a:fillRect/>
                    </a:stretch>
                  </pic:blipFill>
                  <pic:spPr>
                    <a:xfrm>
                      <a:off x="0" y="0"/>
                      <a:ext cx="5266690" cy="2263140"/>
                    </a:xfrm>
                    <a:prstGeom prst="rect">
                      <a:avLst/>
                    </a:prstGeom>
                    <a:noFill/>
                    <a:ln>
                      <a:noFill/>
                    </a:ln>
                  </pic:spPr>
                </pic:pic>
              </a:graphicData>
            </a:graphic>
          </wp:inline>
        </w:drawing>
      </w:r>
    </w:p>
    <w:p>
      <w:pPr>
        <w:keepNext w:val="0"/>
        <w:keepLines w:val="0"/>
        <w:pageBreakBefore w:val="0"/>
        <w:widowControl w:val="0"/>
        <w:numPr>
          <w:ilvl w:val="0"/>
          <w:numId w:val="22"/>
        </w:numPr>
        <w:kinsoku/>
        <w:wordWrap/>
        <w:overflowPunct/>
        <w:topLinePunct w:val="0"/>
        <w:autoSpaceDE/>
        <w:autoSpaceDN/>
        <w:bidi w:val="0"/>
        <w:adjustRightInd/>
        <w:snapToGrid/>
        <w:spacing w:line="360" w:lineRule="auto"/>
        <w:ind w:left="425" w:leftChars="0" w:hanging="425" w:firstLineChars="0"/>
        <w:textAlignment w:val="auto"/>
        <w:rPr>
          <w:rFonts w:hint="default" w:ascii="宋体" w:hAnsi="宋体" w:eastAsia="宋体" w:cs="宋体"/>
          <w:sz w:val="24"/>
          <w:szCs w:val="32"/>
          <w:lang w:val="en-US" w:eastAsia="zh-CN"/>
        </w:rPr>
      </w:pPr>
      <w:r>
        <w:rPr>
          <w:rFonts w:hint="eastAsia" w:ascii="宋体" w:hAnsi="宋体" w:eastAsia="宋体" w:cs="宋体"/>
          <w:sz w:val="24"/>
          <w:szCs w:val="32"/>
          <w:lang w:val="en-US" w:eastAsia="zh-CN"/>
        </w:rPr>
        <w:t>保存后，送审，数据进入国库集中支付申请审核（单位），后续流程同国库集中支付流程一致。</w:t>
      </w:r>
    </w:p>
    <w:p>
      <w:pPr>
        <w:pStyle w:val="4"/>
        <w:bidi w:val="0"/>
        <w:ind w:left="720" w:hanging="720"/>
        <w:rPr>
          <w:rFonts w:hint="eastAsia" w:ascii="黑体" w:hAnsi="黑体" w:eastAsia="黑体" w:cs="黑体"/>
          <w:b w:val="0"/>
          <w:bCs/>
          <w:sz w:val="28"/>
          <w:szCs w:val="22"/>
          <w:lang w:val="en-US" w:eastAsia="zh-CN"/>
        </w:rPr>
      </w:pPr>
      <w:r>
        <w:rPr>
          <w:rFonts w:hint="eastAsia" w:ascii="黑体" w:hAnsi="黑体" w:eastAsia="黑体" w:cs="黑体"/>
          <w:b w:val="0"/>
          <w:bCs/>
          <w:sz w:val="28"/>
          <w:szCs w:val="22"/>
          <w:lang w:val="en-US" w:eastAsia="zh-CN"/>
        </w:rPr>
        <w:t>单位资金缴纳社会保险场景</w:t>
      </w:r>
    </w:p>
    <w:p>
      <w:pPr>
        <w:pStyle w:val="5"/>
        <w:bidi w:val="0"/>
        <w:ind w:left="864" w:hanging="864"/>
        <w:rPr>
          <w:rFonts w:hint="eastAsia" w:ascii="仿宋" w:hAnsi="仿宋" w:eastAsia="仿宋" w:cs="仿宋"/>
          <w:b/>
          <w:bCs w:val="0"/>
          <w:sz w:val="24"/>
          <w:szCs w:val="22"/>
          <w:lang w:val="en-US" w:eastAsia="zh-CN"/>
        </w:rPr>
      </w:pPr>
      <w:r>
        <w:rPr>
          <w:rFonts w:hint="eastAsia" w:ascii="仿宋" w:hAnsi="仿宋" w:eastAsia="仿宋" w:cs="仿宋"/>
          <w:b/>
          <w:bCs w:val="0"/>
          <w:sz w:val="24"/>
          <w:szCs w:val="22"/>
          <w:lang w:val="en-US" w:eastAsia="zh-CN"/>
        </w:rPr>
        <w:t>单位资金代管专户缴纳社会保险场景</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32"/>
          <w:highlight w:val="none"/>
          <w:lang w:val="en-US" w:eastAsia="zh-CN"/>
        </w:rPr>
      </w:pPr>
      <w:r>
        <w:rPr>
          <w:rFonts w:hint="eastAsia" w:ascii="宋体" w:hAnsi="宋体" w:eastAsia="宋体" w:cs="宋体"/>
          <w:sz w:val="24"/>
          <w:szCs w:val="32"/>
          <w:lang w:val="en-US" w:eastAsia="zh-CN"/>
        </w:rPr>
        <w:t>预算执行对标系统支持预算单位录入单位资金代管专户缴纳社会保险，界面显示额度的</w:t>
      </w:r>
      <w:r>
        <w:rPr>
          <w:rFonts w:hint="eastAsia" w:ascii="宋体" w:hAnsi="宋体" w:eastAsia="宋体" w:cs="宋体"/>
          <w:sz w:val="24"/>
          <w:szCs w:val="32"/>
          <w:highlight w:val="none"/>
          <w:lang w:val="en-US" w:eastAsia="zh-CN"/>
        </w:rPr>
        <w:t>账户类型为21-单位零余额，支付方式为31-单位资金支付-集中，资金性质为3开头的单位资金。</w:t>
      </w:r>
    </w:p>
    <w:p>
      <w:pPr>
        <w:keepNext w:val="0"/>
        <w:keepLines w:val="0"/>
        <w:pageBreakBefore w:val="0"/>
        <w:widowControl w:val="0"/>
        <w:numPr>
          <w:ilvl w:val="0"/>
          <w:numId w:val="23"/>
        </w:numPr>
        <w:kinsoku/>
        <w:wordWrap/>
        <w:overflowPunct/>
        <w:topLinePunct w:val="0"/>
        <w:autoSpaceDE/>
        <w:autoSpaceDN/>
        <w:bidi w:val="0"/>
        <w:adjustRightInd/>
        <w:snapToGrid/>
        <w:spacing w:line="360" w:lineRule="auto"/>
        <w:ind w:left="425" w:leftChars="0" w:hanging="425" w:firstLineChars="0"/>
        <w:textAlignment w:val="auto"/>
        <w:rPr>
          <w:rFonts w:hint="default"/>
          <w:lang w:val="en-US" w:eastAsia="zh-CN"/>
        </w:rPr>
      </w:pPr>
      <w:r>
        <w:rPr>
          <w:rFonts w:hint="eastAsia" w:ascii="宋体" w:hAnsi="宋体" w:eastAsia="宋体" w:cs="宋体"/>
          <w:sz w:val="24"/>
          <w:szCs w:val="32"/>
          <w:highlight w:val="none"/>
          <w:lang w:val="en-US" w:eastAsia="zh-CN"/>
        </w:rPr>
        <w:t>界面展示的额度只包含普通的单位资金额度信息，不包含政府采购、工资发放的额度信息，</w:t>
      </w:r>
      <w:r>
        <w:rPr>
          <w:rFonts w:hint="eastAsia" w:ascii="宋体" w:hAnsi="宋体" w:eastAsia="宋体" w:cs="宋体"/>
          <w:sz w:val="24"/>
          <w:szCs w:val="32"/>
          <w:highlight w:val="yellow"/>
          <w:lang w:val="en-US" w:eastAsia="zh-CN"/>
        </w:rPr>
        <w:t>收款人默认为单位零余额账户信息。</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default"/>
          <w:lang w:val="en-US" w:eastAsia="zh-CN"/>
        </w:rPr>
      </w:pPr>
      <w:r>
        <w:drawing>
          <wp:inline distT="0" distB="0" distL="114300" distR="114300">
            <wp:extent cx="5271135" cy="2530475"/>
            <wp:effectExtent l="0" t="0" r="5715" b="3175"/>
            <wp:docPr id="29"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3"/>
                    <pic:cNvPicPr>
                      <a:picLocks noChangeAspect="1"/>
                    </pic:cNvPicPr>
                  </pic:nvPicPr>
                  <pic:blipFill>
                    <a:blip r:embed="rId41"/>
                    <a:stretch>
                      <a:fillRect/>
                    </a:stretch>
                  </pic:blipFill>
                  <pic:spPr>
                    <a:xfrm>
                      <a:off x="0" y="0"/>
                      <a:ext cx="5271135" cy="2530475"/>
                    </a:xfrm>
                    <a:prstGeom prst="rect">
                      <a:avLst/>
                    </a:prstGeom>
                    <a:noFill/>
                    <a:ln>
                      <a:noFill/>
                    </a:ln>
                  </pic:spPr>
                </pic:pic>
              </a:graphicData>
            </a:graphic>
          </wp:inline>
        </w:drawing>
      </w:r>
    </w:p>
    <w:p>
      <w:pPr>
        <w:keepNext w:val="0"/>
        <w:keepLines w:val="0"/>
        <w:pageBreakBefore w:val="0"/>
        <w:widowControl w:val="0"/>
        <w:numPr>
          <w:ilvl w:val="0"/>
          <w:numId w:val="23"/>
        </w:numPr>
        <w:kinsoku/>
        <w:wordWrap/>
        <w:overflowPunct/>
        <w:topLinePunct w:val="0"/>
        <w:autoSpaceDE/>
        <w:autoSpaceDN/>
        <w:bidi w:val="0"/>
        <w:adjustRightInd/>
        <w:snapToGrid/>
        <w:spacing w:line="360" w:lineRule="auto"/>
        <w:ind w:left="425" w:leftChars="0" w:hanging="425" w:firstLineChars="0"/>
        <w:textAlignment w:val="auto"/>
        <w:rPr>
          <w:rFonts w:hint="default"/>
          <w:lang w:val="en-US" w:eastAsia="zh-CN"/>
        </w:rPr>
      </w:pPr>
      <w:r>
        <w:rPr>
          <w:rFonts w:hint="eastAsia" w:ascii="宋体" w:hAnsi="宋体" w:eastAsia="宋体" w:cs="宋体"/>
          <w:sz w:val="24"/>
          <w:szCs w:val="32"/>
          <w:highlight w:val="none"/>
          <w:lang w:val="en-US" w:eastAsia="zh-CN"/>
        </w:rPr>
        <w:t>保存后，送审，流程进入单位资金支付（财政代管）模块下的单位资金支付申请审核（单位）菜单，后续流程同单位资金支付申请（财政代管）流程一致。</w:t>
      </w:r>
    </w:p>
    <w:p>
      <w:pPr>
        <w:pStyle w:val="5"/>
        <w:bidi w:val="0"/>
        <w:ind w:left="864" w:hanging="864"/>
        <w:rPr>
          <w:rFonts w:hint="eastAsia" w:ascii="仿宋" w:hAnsi="仿宋" w:eastAsia="仿宋" w:cs="仿宋"/>
          <w:b/>
          <w:bCs w:val="0"/>
          <w:sz w:val="24"/>
          <w:szCs w:val="22"/>
          <w:lang w:val="en-US" w:eastAsia="zh-CN"/>
        </w:rPr>
      </w:pPr>
      <w:r>
        <w:rPr>
          <w:rFonts w:hint="eastAsia" w:ascii="仿宋" w:hAnsi="仿宋" w:eastAsia="仿宋" w:cs="仿宋"/>
          <w:b/>
          <w:bCs w:val="0"/>
          <w:sz w:val="24"/>
          <w:szCs w:val="22"/>
          <w:lang w:val="en-US" w:eastAsia="zh-CN"/>
        </w:rPr>
        <w:t>单位资金实有账户缴纳社会保险场景</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32"/>
          <w:highlight w:val="none"/>
          <w:lang w:val="en-US" w:eastAsia="zh-CN"/>
        </w:rPr>
      </w:pPr>
      <w:r>
        <w:rPr>
          <w:rFonts w:hint="eastAsia" w:ascii="宋体" w:hAnsi="宋体" w:eastAsia="宋体" w:cs="宋体"/>
          <w:sz w:val="24"/>
          <w:szCs w:val="32"/>
          <w:lang w:val="en-US" w:eastAsia="zh-CN"/>
        </w:rPr>
        <w:t>预算执行对标系统支持预算单位录入单位资金实有账户缴纳社会保险，界面显示额度的</w:t>
      </w:r>
      <w:r>
        <w:rPr>
          <w:rFonts w:hint="eastAsia" w:ascii="宋体" w:hAnsi="宋体" w:eastAsia="宋体" w:cs="宋体"/>
          <w:sz w:val="24"/>
          <w:szCs w:val="32"/>
          <w:highlight w:val="none"/>
          <w:lang w:val="en-US" w:eastAsia="zh-CN"/>
        </w:rPr>
        <w:t>支付方式为32-单位资金支付-分散，资金性质为3开头的单位资金。</w:t>
      </w:r>
    </w:p>
    <w:p>
      <w:pPr>
        <w:keepNext w:val="0"/>
        <w:keepLines w:val="0"/>
        <w:pageBreakBefore w:val="0"/>
        <w:widowControl w:val="0"/>
        <w:numPr>
          <w:ilvl w:val="0"/>
          <w:numId w:val="24"/>
        </w:numPr>
        <w:kinsoku/>
        <w:wordWrap/>
        <w:overflowPunct/>
        <w:topLinePunct w:val="0"/>
        <w:autoSpaceDE/>
        <w:autoSpaceDN/>
        <w:bidi w:val="0"/>
        <w:adjustRightInd/>
        <w:snapToGrid/>
        <w:spacing w:line="360" w:lineRule="auto"/>
        <w:ind w:left="425" w:leftChars="0" w:hanging="425" w:firstLineChars="0"/>
        <w:textAlignment w:val="auto"/>
        <w:rPr>
          <w:rFonts w:hint="default"/>
          <w:lang w:val="en-US" w:eastAsia="zh-CN"/>
        </w:rPr>
      </w:pPr>
      <w:r>
        <w:rPr>
          <w:rFonts w:hint="eastAsia" w:ascii="宋体" w:hAnsi="宋体" w:eastAsia="宋体" w:cs="宋体"/>
          <w:sz w:val="24"/>
          <w:szCs w:val="32"/>
          <w:highlight w:val="none"/>
          <w:lang w:val="en-US" w:eastAsia="zh-CN"/>
        </w:rPr>
        <w:t>界面展示的额度只包含普通的单位资金额度信息，不包含政府采购、工资发放的额度信息，</w:t>
      </w:r>
      <w:r>
        <w:rPr>
          <w:rFonts w:hint="eastAsia" w:ascii="宋体" w:hAnsi="宋体" w:eastAsia="宋体" w:cs="宋体"/>
          <w:sz w:val="24"/>
          <w:szCs w:val="32"/>
          <w:highlight w:val="yellow"/>
          <w:lang w:val="en-US" w:eastAsia="zh-CN"/>
        </w:rPr>
        <w:t>付款人为单位资金实有账户，收款人默认为零余额账户信息。</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pPr>
      <w:r>
        <w:drawing>
          <wp:inline distT="0" distB="0" distL="114300" distR="114300">
            <wp:extent cx="5263515" cy="2499995"/>
            <wp:effectExtent l="0" t="0" r="13335" b="14605"/>
            <wp:docPr id="5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3"/>
                    <pic:cNvPicPr>
                      <a:picLocks noChangeAspect="1"/>
                    </pic:cNvPicPr>
                  </pic:nvPicPr>
                  <pic:blipFill>
                    <a:blip r:embed="rId42"/>
                    <a:stretch>
                      <a:fillRect/>
                    </a:stretch>
                  </pic:blipFill>
                  <pic:spPr>
                    <a:xfrm>
                      <a:off x="0" y="0"/>
                      <a:ext cx="5263515" cy="2499995"/>
                    </a:xfrm>
                    <a:prstGeom prst="rect">
                      <a:avLst/>
                    </a:prstGeom>
                    <a:noFill/>
                    <a:ln>
                      <a:noFill/>
                    </a:ln>
                  </pic:spPr>
                </pic:pic>
              </a:graphicData>
            </a:graphic>
          </wp:inline>
        </w:drawing>
      </w:r>
    </w:p>
    <w:p>
      <w:pPr>
        <w:keepNext w:val="0"/>
        <w:keepLines w:val="0"/>
        <w:pageBreakBefore w:val="0"/>
        <w:widowControl w:val="0"/>
        <w:numPr>
          <w:ilvl w:val="0"/>
          <w:numId w:val="24"/>
        </w:numPr>
        <w:kinsoku/>
        <w:wordWrap/>
        <w:overflowPunct/>
        <w:topLinePunct w:val="0"/>
        <w:autoSpaceDE/>
        <w:autoSpaceDN/>
        <w:bidi w:val="0"/>
        <w:adjustRightInd/>
        <w:snapToGrid/>
        <w:spacing w:line="360" w:lineRule="auto"/>
        <w:ind w:left="425" w:leftChars="0" w:hanging="425" w:firstLineChars="0"/>
        <w:textAlignment w:val="auto"/>
        <w:rPr>
          <w:rFonts w:hint="eastAsia"/>
          <w:lang w:val="en-US" w:eastAsia="zh-CN"/>
        </w:rPr>
      </w:pPr>
      <w:r>
        <w:rPr>
          <w:rFonts w:hint="eastAsia" w:ascii="宋体" w:hAnsi="宋体" w:eastAsia="宋体" w:cs="宋体"/>
          <w:sz w:val="24"/>
          <w:szCs w:val="32"/>
          <w:highlight w:val="none"/>
          <w:lang w:val="en-US" w:eastAsia="zh-CN"/>
        </w:rPr>
        <w:t>保存后，送审，流程进入单位资金支付（单位实户）模块下的单位资金支付申请审核（单位），后续流程同单位资金支付申请（单位实户）流程一致。</w:t>
      </w:r>
    </w:p>
    <w:p>
      <w:pPr>
        <w:pStyle w:val="3"/>
        <w:bidi w:val="0"/>
        <w:ind w:left="575" w:hanging="575"/>
        <w:rPr>
          <w:rFonts w:hint="eastAsia" w:ascii="仿宋" w:hAnsi="仿宋" w:eastAsia="仿宋" w:cs="仿宋"/>
          <w:b/>
          <w:bCs w:val="0"/>
          <w:sz w:val="28"/>
          <w:szCs w:val="22"/>
          <w:lang w:val="en-US" w:eastAsia="zh-CN"/>
        </w:rPr>
      </w:pPr>
      <w:r>
        <w:rPr>
          <w:rFonts w:hint="eastAsia" w:ascii="仿宋" w:hAnsi="仿宋" w:eastAsia="仿宋" w:cs="仿宋"/>
          <w:b/>
          <w:bCs w:val="0"/>
          <w:sz w:val="28"/>
          <w:szCs w:val="22"/>
          <w:lang w:val="en-US" w:eastAsia="zh-CN"/>
        </w:rPr>
        <w:t>支付更正业务</w:t>
      </w:r>
    </w:p>
    <w:p>
      <w:pPr>
        <w:rPr>
          <w:rFonts w:hint="default"/>
          <w:lang w:val="en-US" w:eastAsia="zh-CN"/>
        </w:rPr>
      </w:pPr>
      <w:r>
        <w:rPr>
          <w:rFonts w:hint="eastAsia" w:ascii="仿宋" w:hAnsi="仿宋" w:eastAsia="仿宋" w:cs="仿宋"/>
          <w:b/>
          <w:bCs w:val="0"/>
          <w:sz w:val="28"/>
          <w:szCs w:val="22"/>
          <w:lang w:val="en-US" w:eastAsia="zh-CN"/>
        </w:rPr>
        <w:t>支付更正业务均由预算单位发起。</w:t>
      </w:r>
    </w:p>
    <w:p>
      <w:pPr>
        <w:pStyle w:val="4"/>
        <w:bidi w:val="0"/>
        <w:ind w:left="720" w:hanging="720"/>
        <w:rPr>
          <w:rFonts w:hint="eastAsia" w:ascii="黑体" w:hAnsi="黑体" w:eastAsia="黑体" w:cs="黑体"/>
          <w:b w:val="0"/>
          <w:bCs/>
          <w:sz w:val="28"/>
          <w:szCs w:val="22"/>
          <w:lang w:val="en-US" w:eastAsia="zh-CN"/>
        </w:rPr>
      </w:pPr>
      <w:r>
        <w:rPr>
          <w:rFonts w:hint="eastAsia" w:ascii="黑体" w:hAnsi="黑体" w:eastAsia="黑体" w:cs="黑体"/>
          <w:b w:val="0"/>
          <w:bCs/>
          <w:sz w:val="28"/>
          <w:szCs w:val="22"/>
          <w:lang w:val="en-US" w:eastAsia="zh-CN"/>
        </w:rPr>
        <w:t>政府预算资金支付更正场景</w:t>
      </w:r>
    </w:p>
    <w:p>
      <w:pPr>
        <w:numPr>
          <w:ilvl w:val="0"/>
          <w:numId w:val="0"/>
        </w:numPr>
        <w:ind w:leftChars="0" w:firstLine="420" w:firstLineChars="0"/>
        <w:rPr>
          <w:rFonts w:hint="default" w:ascii="宋体" w:hAnsi="宋体" w:eastAsia="宋体" w:cs="宋体"/>
          <w:sz w:val="24"/>
          <w:szCs w:val="32"/>
          <w:lang w:val="en-US" w:eastAsia="zh-CN"/>
        </w:rPr>
      </w:pPr>
      <w:r>
        <w:rPr>
          <w:rFonts w:hint="eastAsia" w:ascii="宋体" w:hAnsi="宋体" w:eastAsia="宋体" w:cs="宋体"/>
          <w:sz w:val="24"/>
          <w:szCs w:val="32"/>
          <w:highlight w:val="none"/>
          <w:lang w:val="en-US" w:eastAsia="zh-CN"/>
        </w:rPr>
        <w:t>预算执行对标系统支持预算单位录入政府预算资金支付更正，政府预算资金支付更正支持更正支付信息和计划信息。</w:t>
      </w:r>
    </w:p>
    <w:p>
      <w:pPr>
        <w:rPr>
          <w:rFonts w:hint="eastAsia" w:ascii="宋体" w:hAnsi="宋体" w:eastAsia="宋体" w:cs="宋体"/>
          <w:sz w:val="24"/>
          <w:szCs w:val="32"/>
          <w:lang w:val="en-US" w:eastAsia="zh-CN"/>
        </w:rPr>
      </w:pPr>
    </w:p>
    <w:p>
      <w:pPr>
        <w:numPr>
          <w:ilvl w:val="0"/>
          <w:numId w:val="25"/>
        </w:numPr>
        <w:ind w:left="425" w:leftChars="0" w:hanging="425" w:firstLineChars="0"/>
        <w:rPr>
          <w:rFonts w:hint="default" w:ascii="宋体" w:hAnsi="宋体" w:eastAsia="宋体" w:cs="宋体"/>
          <w:sz w:val="24"/>
          <w:szCs w:val="32"/>
          <w:lang w:val="en-US" w:eastAsia="zh-CN"/>
        </w:rPr>
      </w:pPr>
      <w:r>
        <w:rPr>
          <w:rFonts w:hint="eastAsia" w:ascii="宋体" w:hAnsi="宋体" w:eastAsia="宋体" w:cs="宋体"/>
          <w:sz w:val="24"/>
          <w:szCs w:val="32"/>
          <w:lang w:val="en-US" w:eastAsia="zh-CN"/>
        </w:rPr>
        <w:t>更正支付申请：选择需要更正的支付申请，界面显示的支付申请信息是资金性质为1开头的政府预算资金，选择支付申请后，自动带出计划信息，可对部门经济分类进行更改。</w:t>
      </w:r>
    </w:p>
    <w:p>
      <w:pPr>
        <w:numPr>
          <w:ilvl w:val="0"/>
          <w:numId w:val="0"/>
        </w:numPr>
        <w:ind w:leftChars="0" w:firstLine="420" w:firstLineChars="0"/>
      </w:pPr>
    </w:p>
    <w:p>
      <w:pPr>
        <w:numPr>
          <w:ilvl w:val="0"/>
          <w:numId w:val="0"/>
        </w:numPr>
      </w:pPr>
      <w:r>
        <w:drawing>
          <wp:inline distT="0" distB="0" distL="114300" distR="114300">
            <wp:extent cx="5273675" cy="2170430"/>
            <wp:effectExtent l="0" t="0" r="3175" b="1270"/>
            <wp:docPr id="5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2"/>
                    <pic:cNvPicPr>
                      <a:picLocks noChangeAspect="1"/>
                    </pic:cNvPicPr>
                  </pic:nvPicPr>
                  <pic:blipFill>
                    <a:blip r:embed="rId43"/>
                    <a:stretch>
                      <a:fillRect/>
                    </a:stretch>
                  </pic:blipFill>
                  <pic:spPr>
                    <a:xfrm>
                      <a:off x="0" y="0"/>
                      <a:ext cx="5273675" cy="2170430"/>
                    </a:xfrm>
                    <a:prstGeom prst="rect">
                      <a:avLst/>
                    </a:prstGeom>
                    <a:noFill/>
                    <a:ln>
                      <a:noFill/>
                    </a:ln>
                  </pic:spPr>
                </pic:pic>
              </a:graphicData>
            </a:graphic>
          </wp:inline>
        </w:drawing>
      </w:r>
    </w:p>
    <w:p>
      <w:pPr>
        <w:numPr>
          <w:ilvl w:val="0"/>
          <w:numId w:val="0"/>
        </w:numPr>
      </w:pPr>
      <w:r>
        <w:drawing>
          <wp:inline distT="0" distB="0" distL="114300" distR="114300">
            <wp:extent cx="5266690" cy="2242185"/>
            <wp:effectExtent l="0" t="0" r="10160" b="5715"/>
            <wp:docPr id="52"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25"/>
                    <pic:cNvPicPr>
                      <a:picLocks noChangeAspect="1"/>
                    </pic:cNvPicPr>
                  </pic:nvPicPr>
                  <pic:blipFill>
                    <a:blip r:embed="rId44"/>
                    <a:stretch>
                      <a:fillRect/>
                    </a:stretch>
                  </pic:blipFill>
                  <pic:spPr>
                    <a:xfrm>
                      <a:off x="0" y="0"/>
                      <a:ext cx="5266690" cy="2242185"/>
                    </a:xfrm>
                    <a:prstGeom prst="rect">
                      <a:avLst/>
                    </a:prstGeom>
                    <a:noFill/>
                    <a:ln>
                      <a:noFill/>
                    </a:ln>
                  </pic:spPr>
                </pic:pic>
              </a:graphicData>
            </a:graphic>
          </wp:inline>
        </w:drawing>
      </w:r>
    </w:p>
    <w:p>
      <w:pPr>
        <w:numPr>
          <w:ilvl w:val="0"/>
          <w:numId w:val="0"/>
        </w:numPr>
        <w:ind w:leftChars="0" w:firstLine="420" w:firstLineChars="0"/>
        <w:rPr>
          <w:rFonts w:hint="default"/>
          <w:lang w:val="en-US" w:eastAsia="zh-CN"/>
        </w:rPr>
      </w:pPr>
    </w:p>
    <w:p>
      <w:pPr>
        <w:numPr>
          <w:ilvl w:val="0"/>
          <w:numId w:val="25"/>
        </w:numPr>
        <w:ind w:left="425" w:leftChars="0" w:hanging="425" w:firstLineChars="0"/>
        <w:rPr>
          <w:rFonts w:hint="default" w:ascii="宋体" w:hAnsi="宋体" w:eastAsia="宋体" w:cs="宋体"/>
          <w:sz w:val="24"/>
          <w:szCs w:val="32"/>
          <w:lang w:val="en-US" w:eastAsia="zh-CN"/>
        </w:rPr>
      </w:pPr>
      <w:r>
        <w:rPr>
          <w:rFonts w:hint="eastAsia" w:ascii="宋体" w:hAnsi="宋体" w:eastAsia="宋体" w:cs="宋体"/>
          <w:sz w:val="24"/>
          <w:szCs w:val="32"/>
          <w:lang w:val="en-US" w:eastAsia="zh-CN"/>
        </w:rPr>
        <w:t>更正计划信息：先选择需要更正的支付申请，再选择计划信息，界面显示的计划信息是资金性质为1开头的政府预算资金，选择需要更改的计划信息保存即可。</w:t>
      </w:r>
    </w:p>
    <w:p>
      <w:pPr>
        <w:numPr>
          <w:ilvl w:val="0"/>
          <w:numId w:val="0"/>
        </w:numPr>
        <w:ind w:leftChars="0"/>
        <w:jc w:val="center"/>
        <w:rPr>
          <w:rFonts w:hint="default" w:ascii="宋体" w:hAnsi="宋体" w:eastAsia="宋体" w:cs="宋体"/>
          <w:sz w:val="24"/>
          <w:szCs w:val="32"/>
          <w:lang w:val="en-US" w:eastAsia="zh-CN"/>
        </w:rPr>
      </w:pPr>
      <w:r>
        <w:drawing>
          <wp:inline distT="0" distB="0" distL="114300" distR="114300">
            <wp:extent cx="5262245" cy="2510155"/>
            <wp:effectExtent l="0" t="0" r="14605" b="4445"/>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45"/>
                    <a:stretch>
                      <a:fillRect/>
                    </a:stretch>
                  </pic:blipFill>
                  <pic:spPr>
                    <a:xfrm>
                      <a:off x="0" y="0"/>
                      <a:ext cx="5262245" cy="2510155"/>
                    </a:xfrm>
                    <a:prstGeom prst="rect">
                      <a:avLst/>
                    </a:prstGeom>
                    <a:noFill/>
                    <a:ln>
                      <a:noFill/>
                    </a:ln>
                  </pic:spPr>
                </pic:pic>
              </a:graphicData>
            </a:graphic>
          </wp:inline>
        </w:drawing>
      </w:r>
    </w:p>
    <w:p>
      <w:pPr>
        <w:numPr>
          <w:ilvl w:val="0"/>
          <w:numId w:val="0"/>
        </w:numPr>
        <w:ind w:leftChars="0"/>
        <w:rPr>
          <w:rFonts w:hint="default" w:ascii="宋体" w:hAnsi="宋体" w:eastAsia="宋体" w:cs="宋体"/>
          <w:sz w:val="24"/>
          <w:szCs w:val="32"/>
          <w:lang w:val="en-US" w:eastAsia="zh-CN"/>
        </w:rPr>
      </w:pPr>
    </w:p>
    <w:p>
      <w:pPr>
        <w:numPr>
          <w:ilvl w:val="0"/>
          <w:numId w:val="25"/>
        </w:numPr>
        <w:ind w:left="425" w:leftChars="0" w:hanging="425" w:firstLineChars="0"/>
        <w:rPr>
          <w:rFonts w:hint="default" w:ascii="宋体" w:hAnsi="宋体" w:eastAsia="宋体" w:cs="宋体"/>
          <w:sz w:val="24"/>
          <w:szCs w:val="32"/>
          <w:lang w:val="en-US" w:eastAsia="zh-CN"/>
        </w:rPr>
      </w:pPr>
      <w:r>
        <w:rPr>
          <w:rFonts w:hint="eastAsia" w:ascii="宋体" w:hAnsi="宋体" w:eastAsia="宋体" w:cs="宋体"/>
          <w:sz w:val="24"/>
          <w:szCs w:val="32"/>
          <w:lang w:val="en-US" w:eastAsia="zh-CN"/>
        </w:rPr>
        <w:t>保存后，进入支付更正送审、审核、签章、发送等流程。</w:t>
      </w:r>
    </w:p>
    <w:p>
      <w:pPr>
        <w:widowControl w:val="0"/>
        <w:numPr>
          <w:ilvl w:val="0"/>
          <w:numId w:val="0"/>
        </w:numPr>
        <w:jc w:val="both"/>
        <w:rPr>
          <w:rFonts w:hint="default" w:ascii="宋体" w:hAnsi="宋体" w:eastAsia="宋体" w:cs="宋体"/>
          <w:sz w:val="24"/>
          <w:szCs w:val="32"/>
          <w:lang w:val="en-US" w:eastAsia="zh-CN"/>
        </w:rPr>
      </w:pPr>
    </w:p>
    <w:p>
      <w:pPr>
        <w:pStyle w:val="4"/>
        <w:bidi w:val="0"/>
        <w:ind w:left="720" w:hanging="720"/>
        <w:rPr>
          <w:rFonts w:hint="eastAsia"/>
          <w:lang w:val="en-US" w:eastAsia="zh-CN"/>
        </w:rPr>
      </w:pPr>
      <w:r>
        <w:rPr>
          <w:rFonts w:hint="eastAsia" w:ascii="黑体" w:hAnsi="黑体" w:eastAsia="黑体" w:cs="黑体"/>
          <w:b w:val="0"/>
          <w:bCs/>
          <w:sz w:val="28"/>
          <w:szCs w:val="22"/>
          <w:lang w:val="en-US" w:eastAsia="zh-CN"/>
        </w:rPr>
        <w:t>单位资金支付更正场景</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sz w:val="24"/>
          <w:szCs w:val="32"/>
          <w:lang w:val="en-US" w:eastAsia="zh-CN"/>
        </w:rPr>
      </w:pPr>
      <w:r>
        <w:rPr>
          <w:rFonts w:hint="eastAsia" w:ascii="宋体" w:hAnsi="宋体" w:eastAsia="宋体" w:cs="宋体"/>
          <w:sz w:val="24"/>
          <w:szCs w:val="32"/>
          <w:lang w:val="en-US" w:eastAsia="zh-CN"/>
        </w:rPr>
        <w:t>预算执行对标系统支持预算单位录入单位资金支付更正，单位资金支付更正支持更正支付信息和指标信息。</w:t>
      </w:r>
    </w:p>
    <w:p>
      <w:pPr>
        <w:numPr>
          <w:ilvl w:val="0"/>
          <w:numId w:val="26"/>
        </w:numPr>
        <w:ind w:left="425" w:leftChars="0" w:hanging="425" w:firstLineChars="0"/>
        <w:rPr>
          <w:rFonts w:hint="eastAsia" w:ascii="宋体" w:hAnsi="宋体" w:eastAsia="宋体" w:cs="宋体"/>
          <w:sz w:val="24"/>
          <w:szCs w:val="32"/>
          <w:lang w:val="en-US" w:eastAsia="zh-CN"/>
        </w:rPr>
      </w:pPr>
      <w:r>
        <w:rPr>
          <w:rFonts w:hint="eastAsia" w:ascii="宋体" w:hAnsi="宋体" w:eastAsia="宋体" w:cs="宋体"/>
          <w:sz w:val="24"/>
          <w:szCs w:val="32"/>
          <w:lang w:val="en-US" w:eastAsia="zh-CN"/>
        </w:rPr>
        <w:t>更正支付申请：选择需要更正的支付申请，界面显示的支付申请信息是资金性质为3开头的单位资金，选择支付申请后，自动带出指标信息，可对部门经济分类进行更改。</w:t>
      </w:r>
    </w:p>
    <w:p>
      <w:pPr>
        <w:numPr>
          <w:ilvl w:val="0"/>
          <w:numId w:val="0"/>
        </w:numPr>
        <w:ind w:leftChars="0"/>
        <w:jc w:val="center"/>
      </w:pPr>
      <w:r>
        <w:drawing>
          <wp:inline distT="0" distB="0" distL="114300" distR="114300">
            <wp:extent cx="5270500" cy="2252980"/>
            <wp:effectExtent l="0" t="0" r="6350" b="13970"/>
            <wp:docPr id="1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6"/>
                    <pic:cNvPicPr>
                      <a:picLocks noChangeAspect="1"/>
                    </pic:cNvPicPr>
                  </pic:nvPicPr>
                  <pic:blipFill>
                    <a:blip r:embed="rId46"/>
                    <a:stretch>
                      <a:fillRect/>
                    </a:stretch>
                  </pic:blipFill>
                  <pic:spPr>
                    <a:xfrm>
                      <a:off x="0" y="0"/>
                      <a:ext cx="5270500" cy="2252980"/>
                    </a:xfrm>
                    <a:prstGeom prst="rect">
                      <a:avLst/>
                    </a:prstGeom>
                    <a:noFill/>
                    <a:ln>
                      <a:noFill/>
                    </a:ln>
                  </pic:spPr>
                </pic:pic>
              </a:graphicData>
            </a:graphic>
          </wp:inline>
        </w:drawing>
      </w:r>
    </w:p>
    <w:p>
      <w:pPr>
        <w:numPr>
          <w:ilvl w:val="0"/>
          <w:numId w:val="0"/>
        </w:numPr>
        <w:ind w:leftChars="0"/>
        <w:jc w:val="center"/>
      </w:pPr>
      <w:r>
        <w:drawing>
          <wp:inline distT="0" distB="0" distL="114300" distR="114300">
            <wp:extent cx="5268595" cy="2353310"/>
            <wp:effectExtent l="0" t="0" r="8255" b="8890"/>
            <wp:docPr id="32"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6"/>
                    <pic:cNvPicPr>
                      <a:picLocks noChangeAspect="1"/>
                    </pic:cNvPicPr>
                  </pic:nvPicPr>
                  <pic:blipFill>
                    <a:blip r:embed="rId47"/>
                    <a:stretch>
                      <a:fillRect/>
                    </a:stretch>
                  </pic:blipFill>
                  <pic:spPr>
                    <a:xfrm>
                      <a:off x="0" y="0"/>
                      <a:ext cx="5268595" cy="2353310"/>
                    </a:xfrm>
                    <a:prstGeom prst="rect">
                      <a:avLst/>
                    </a:prstGeom>
                    <a:noFill/>
                    <a:ln>
                      <a:noFill/>
                    </a:ln>
                  </pic:spPr>
                </pic:pic>
              </a:graphicData>
            </a:graphic>
          </wp:inline>
        </w:drawing>
      </w:r>
    </w:p>
    <w:p>
      <w:pPr>
        <w:numPr>
          <w:ilvl w:val="0"/>
          <w:numId w:val="0"/>
        </w:numPr>
        <w:ind w:leftChars="0" w:firstLine="420" w:firstLineChars="0"/>
        <w:rPr>
          <w:rFonts w:hint="default"/>
          <w:lang w:val="en-US" w:eastAsia="zh-CN"/>
        </w:rPr>
      </w:pPr>
    </w:p>
    <w:p>
      <w:pPr>
        <w:numPr>
          <w:ilvl w:val="0"/>
          <w:numId w:val="26"/>
        </w:numPr>
        <w:ind w:left="425" w:leftChars="0" w:hanging="425" w:firstLineChars="0"/>
        <w:rPr>
          <w:rFonts w:hint="default" w:ascii="宋体" w:hAnsi="宋体" w:eastAsia="宋体" w:cs="宋体"/>
          <w:sz w:val="24"/>
          <w:szCs w:val="32"/>
          <w:lang w:val="en-US" w:eastAsia="zh-CN"/>
        </w:rPr>
      </w:pPr>
      <w:r>
        <w:rPr>
          <w:rFonts w:hint="eastAsia" w:ascii="宋体" w:hAnsi="宋体" w:eastAsia="宋体" w:cs="宋体"/>
          <w:sz w:val="24"/>
          <w:szCs w:val="32"/>
          <w:lang w:val="en-US" w:eastAsia="zh-CN"/>
        </w:rPr>
        <w:t>更正额度信息：先选择需要更正的支付申请，再选择额度信息，界面显示的额度是资金性质为3开头的单位资金，选择需要更改的额度信息保存即可。</w:t>
      </w:r>
    </w:p>
    <w:p>
      <w:pPr>
        <w:numPr>
          <w:ilvl w:val="0"/>
          <w:numId w:val="0"/>
        </w:numPr>
        <w:ind w:leftChars="0"/>
        <w:jc w:val="both"/>
        <w:rPr>
          <w:rFonts w:hint="default" w:ascii="宋体" w:hAnsi="宋体" w:eastAsia="宋体" w:cs="宋体"/>
          <w:sz w:val="24"/>
          <w:szCs w:val="32"/>
          <w:lang w:val="en-US" w:eastAsia="zh-CN"/>
        </w:rPr>
      </w:pPr>
      <w:r>
        <w:drawing>
          <wp:inline distT="0" distB="0" distL="114300" distR="114300">
            <wp:extent cx="5266055" cy="2583815"/>
            <wp:effectExtent l="0" t="0" r="10795" b="6985"/>
            <wp:docPr id="1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7"/>
                    <pic:cNvPicPr>
                      <a:picLocks noChangeAspect="1"/>
                    </pic:cNvPicPr>
                  </pic:nvPicPr>
                  <pic:blipFill>
                    <a:blip r:embed="rId48"/>
                    <a:stretch>
                      <a:fillRect/>
                    </a:stretch>
                  </pic:blipFill>
                  <pic:spPr>
                    <a:xfrm>
                      <a:off x="0" y="0"/>
                      <a:ext cx="5266055" cy="2583815"/>
                    </a:xfrm>
                    <a:prstGeom prst="rect">
                      <a:avLst/>
                    </a:prstGeom>
                    <a:noFill/>
                    <a:ln>
                      <a:noFill/>
                    </a:ln>
                  </pic:spPr>
                </pic:pic>
              </a:graphicData>
            </a:graphic>
          </wp:inline>
        </w:drawing>
      </w:r>
    </w:p>
    <w:p>
      <w:pPr>
        <w:numPr>
          <w:ilvl w:val="0"/>
          <w:numId w:val="0"/>
        </w:numPr>
        <w:ind w:leftChars="0"/>
        <w:rPr>
          <w:rFonts w:hint="default" w:ascii="宋体" w:hAnsi="宋体" w:eastAsia="宋体" w:cs="宋体"/>
          <w:sz w:val="24"/>
          <w:szCs w:val="32"/>
          <w:lang w:val="en-US" w:eastAsia="zh-CN"/>
        </w:rPr>
      </w:pPr>
    </w:p>
    <w:p>
      <w:pPr>
        <w:keepNext w:val="0"/>
        <w:keepLines w:val="0"/>
        <w:pageBreakBefore w:val="0"/>
        <w:widowControl w:val="0"/>
        <w:numPr>
          <w:ilvl w:val="0"/>
          <w:numId w:val="26"/>
        </w:numPr>
        <w:kinsoku/>
        <w:wordWrap/>
        <w:overflowPunct/>
        <w:topLinePunct w:val="0"/>
        <w:autoSpaceDE/>
        <w:autoSpaceDN/>
        <w:bidi w:val="0"/>
        <w:adjustRightInd/>
        <w:snapToGrid/>
        <w:spacing w:line="240" w:lineRule="auto"/>
        <w:ind w:left="425" w:leftChars="0" w:right="0" w:rightChars="0" w:hanging="425" w:firstLineChars="0"/>
        <w:jc w:val="both"/>
        <w:textAlignment w:val="auto"/>
        <w:outlineLvl w:val="9"/>
        <w:rPr>
          <w:rFonts w:hint="eastAsia" w:ascii="仿宋" w:hAnsi="仿宋" w:eastAsia="仿宋" w:cs="仿宋"/>
          <w:sz w:val="28"/>
          <w:szCs w:val="28"/>
          <w:lang w:val="en-US" w:eastAsia="zh-CN"/>
        </w:rPr>
      </w:pPr>
      <w:r>
        <w:rPr>
          <w:rFonts w:hint="eastAsia" w:ascii="宋体" w:hAnsi="宋体" w:eastAsia="宋体" w:cs="宋体"/>
          <w:sz w:val="24"/>
          <w:szCs w:val="32"/>
          <w:lang w:val="en-US" w:eastAsia="zh-CN"/>
        </w:rPr>
        <w:t>保存后，进入支付更正送审、审核、签章、发送等流程。</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both"/>
        <w:textAlignment w:val="auto"/>
        <w:outlineLvl w:val="9"/>
        <w:rPr>
          <w:rFonts w:hint="eastAsia" w:ascii="仿宋" w:hAnsi="仿宋" w:eastAsia="仿宋" w:cs="仿宋"/>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560" w:firstLineChars="200"/>
        <w:jc w:val="both"/>
        <w:textAlignment w:val="auto"/>
        <w:outlineLvl w:val="9"/>
        <w:rPr>
          <w:rFonts w:hint="eastAsia" w:ascii="仿宋" w:hAnsi="仿宋" w:eastAsia="仿宋" w:cs="仿宋"/>
          <w:sz w:val="28"/>
          <w:szCs w:val="28"/>
          <w:lang w:val="en-US" w:eastAsia="zh-CN"/>
        </w:rPr>
      </w:pPr>
    </w:p>
    <w:sectPr>
      <w:pgSz w:w="11906" w:h="16838"/>
      <w:pgMar w:top="1440" w:right="1800" w:bottom="1440" w:left="1800" w:header="851" w:footer="992" w:gutter="0"/>
      <w:cols w:space="425" w:num="1"/>
      <w:docGrid w:type="lines" w:linePitch="312" w:charSpace="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comment w:id="0" w:author="刘小九" w:date="2020-12-31T20:25:34Z" w:initials="">
    <w:p w14:paraId="19940F30">
      <w:pPr>
        <w:pStyle w:val="11"/>
        <w:rPr>
          <w:rFonts w:hint="default" w:eastAsiaTheme="minorEastAsia"/>
          <w:lang w:val="en-US" w:eastAsia="zh-CN"/>
        </w:rPr>
      </w:pPr>
      <w:r>
        <w:rPr>
          <w:rFonts w:hint="eastAsia"/>
          <w:lang w:val="en-US" w:eastAsia="zh-CN"/>
        </w:rPr>
        <w:t>单位零余额？</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19940F30"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swiss"/>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 w:name="方正楷体_GBK">
    <w:panose1 w:val="03000509000000000000"/>
    <w:charset w:val="86"/>
    <w:family w:val="auto"/>
    <w:pitch w:val="default"/>
    <w:sig w:usb0="00000001" w:usb1="080E0000" w:usb2="00000000" w:usb3="00000000" w:csb0="00040000" w:csb1="00000000"/>
  </w:font>
  <w:font w:name="方正舒体">
    <w:panose1 w:val="02010601030101010101"/>
    <w:charset w:val="86"/>
    <w:family w:val="auto"/>
    <w:pitch w:val="default"/>
    <w:sig w:usb0="00000003" w:usb1="080E0000" w:usb2="00000000" w:usb3="00000000" w:csb0="00040000" w:csb1="00000000"/>
  </w:font>
  <w:font w:name="方正小标宋简体">
    <w:panose1 w:val="03000509000000000000"/>
    <w:charset w:val="86"/>
    <w:family w:val="auto"/>
    <w:pitch w:val="default"/>
    <w:sig w:usb0="00000001" w:usb1="080E0000" w:usb2="0000000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7B03B92"/>
    <w:multiLevelType w:val="singleLevel"/>
    <w:tmpl w:val="87B03B92"/>
    <w:lvl w:ilvl="0" w:tentative="0">
      <w:start w:val="1"/>
      <w:numFmt w:val="decimal"/>
      <w:lvlText w:val="%1)"/>
      <w:lvlJc w:val="left"/>
      <w:pPr>
        <w:ind w:left="425" w:hanging="425"/>
      </w:pPr>
      <w:rPr>
        <w:rFonts w:hint="default"/>
      </w:rPr>
    </w:lvl>
  </w:abstractNum>
  <w:abstractNum w:abstractNumId="1">
    <w:nsid w:val="911162F2"/>
    <w:multiLevelType w:val="singleLevel"/>
    <w:tmpl w:val="911162F2"/>
    <w:lvl w:ilvl="0" w:tentative="0">
      <w:start w:val="1"/>
      <w:numFmt w:val="decimal"/>
      <w:lvlText w:val="%1)"/>
      <w:lvlJc w:val="left"/>
      <w:pPr>
        <w:ind w:left="425" w:hanging="425"/>
      </w:pPr>
      <w:rPr>
        <w:rFonts w:hint="default"/>
      </w:rPr>
    </w:lvl>
  </w:abstractNum>
  <w:abstractNum w:abstractNumId="2">
    <w:nsid w:val="95F68953"/>
    <w:multiLevelType w:val="singleLevel"/>
    <w:tmpl w:val="95F68953"/>
    <w:lvl w:ilvl="0" w:tentative="0">
      <w:start w:val="1"/>
      <w:numFmt w:val="decimal"/>
      <w:lvlText w:val="%1)"/>
      <w:lvlJc w:val="left"/>
      <w:pPr>
        <w:ind w:left="425" w:hanging="425"/>
      </w:pPr>
      <w:rPr>
        <w:rFonts w:hint="default"/>
      </w:rPr>
    </w:lvl>
  </w:abstractNum>
  <w:abstractNum w:abstractNumId="3">
    <w:nsid w:val="A48A1466"/>
    <w:multiLevelType w:val="singleLevel"/>
    <w:tmpl w:val="A48A1466"/>
    <w:lvl w:ilvl="0" w:tentative="0">
      <w:start w:val="1"/>
      <w:numFmt w:val="decimal"/>
      <w:lvlText w:val="%1)"/>
      <w:lvlJc w:val="left"/>
      <w:pPr>
        <w:ind w:left="425" w:hanging="425"/>
      </w:pPr>
      <w:rPr>
        <w:rFonts w:hint="default"/>
      </w:rPr>
    </w:lvl>
  </w:abstractNum>
  <w:abstractNum w:abstractNumId="4">
    <w:nsid w:val="BA74FD0B"/>
    <w:multiLevelType w:val="singleLevel"/>
    <w:tmpl w:val="BA74FD0B"/>
    <w:lvl w:ilvl="0" w:tentative="0">
      <w:start w:val="1"/>
      <w:numFmt w:val="decimal"/>
      <w:lvlText w:val="%1)"/>
      <w:lvlJc w:val="left"/>
      <w:pPr>
        <w:ind w:left="425" w:hanging="425"/>
      </w:pPr>
      <w:rPr>
        <w:rFonts w:hint="default"/>
      </w:rPr>
    </w:lvl>
  </w:abstractNum>
  <w:abstractNum w:abstractNumId="5">
    <w:nsid w:val="BBA0079B"/>
    <w:multiLevelType w:val="singleLevel"/>
    <w:tmpl w:val="BBA0079B"/>
    <w:lvl w:ilvl="0" w:tentative="0">
      <w:start w:val="1"/>
      <w:numFmt w:val="decimal"/>
      <w:lvlText w:val="%1)"/>
      <w:lvlJc w:val="left"/>
      <w:pPr>
        <w:ind w:left="425" w:hanging="425"/>
      </w:pPr>
      <w:rPr>
        <w:rFonts w:hint="default"/>
      </w:rPr>
    </w:lvl>
  </w:abstractNum>
  <w:abstractNum w:abstractNumId="6">
    <w:nsid w:val="C341111E"/>
    <w:multiLevelType w:val="singleLevel"/>
    <w:tmpl w:val="C341111E"/>
    <w:lvl w:ilvl="0" w:tentative="0">
      <w:start w:val="1"/>
      <w:numFmt w:val="decimal"/>
      <w:lvlText w:val="%1)"/>
      <w:lvlJc w:val="left"/>
      <w:pPr>
        <w:ind w:left="425" w:hanging="425"/>
      </w:pPr>
      <w:rPr>
        <w:rFonts w:hint="default"/>
      </w:rPr>
    </w:lvl>
  </w:abstractNum>
  <w:abstractNum w:abstractNumId="7">
    <w:nsid w:val="C544152F"/>
    <w:multiLevelType w:val="multilevel"/>
    <w:tmpl w:val="C544152F"/>
    <w:lvl w:ilvl="0" w:tentative="0">
      <w:start w:val="1"/>
      <w:numFmt w:val="decimal"/>
      <w:pStyle w:val="2"/>
      <w:lvlText w:val="%1."/>
      <w:lvlJc w:val="left"/>
      <w:pPr>
        <w:ind w:left="432" w:hanging="432"/>
      </w:pPr>
      <w:rPr>
        <w:rFonts w:hint="default"/>
      </w:rPr>
    </w:lvl>
    <w:lvl w:ilvl="1" w:tentative="0">
      <w:start w:val="1"/>
      <w:numFmt w:val="decimal"/>
      <w:pStyle w:val="3"/>
      <w:lvlText w:val="%1.%2."/>
      <w:lvlJc w:val="left"/>
      <w:pPr>
        <w:ind w:left="575" w:hanging="575"/>
      </w:pPr>
      <w:rPr>
        <w:rFonts w:hint="default"/>
      </w:rPr>
    </w:lvl>
    <w:lvl w:ilvl="2" w:tentative="0">
      <w:start w:val="1"/>
      <w:numFmt w:val="decimal"/>
      <w:pStyle w:val="4"/>
      <w:lvlText w:val="%1.%2.%3."/>
      <w:lvlJc w:val="left"/>
      <w:pPr>
        <w:ind w:left="720" w:hanging="720"/>
      </w:pPr>
      <w:rPr>
        <w:rFonts w:hint="default"/>
      </w:rPr>
    </w:lvl>
    <w:lvl w:ilvl="3" w:tentative="0">
      <w:start w:val="1"/>
      <w:numFmt w:val="decimal"/>
      <w:pStyle w:val="5"/>
      <w:lvlText w:val="%1.%2.%3.%4."/>
      <w:lvlJc w:val="left"/>
      <w:pPr>
        <w:ind w:left="864" w:hanging="864"/>
      </w:pPr>
      <w:rPr>
        <w:rFonts w:hint="default"/>
      </w:rPr>
    </w:lvl>
    <w:lvl w:ilvl="4" w:tentative="0">
      <w:start w:val="1"/>
      <w:numFmt w:val="decimal"/>
      <w:pStyle w:val="6"/>
      <w:lvlText w:val="%1.%2.%3.%4.%5."/>
      <w:lvlJc w:val="left"/>
      <w:pPr>
        <w:ind w:left="1008" w:hanging="1008"/>
      </w:pPr>
      <w:rPr>
        <w:rFonts w:hint="default"/>
      </w:rPr>
    </w:lvl>
    <w:lvl w:ilvl="5" w:tentative="0">
      <w:start w:val="1"/>
      <w:numFmt w:val="decimal"/>
      <w:pStyle w:val="7"/>
      <w:lvlText w:val="%1.%2.%3.%4.%5.%6."/>
      <w:lvlJc w:val="left"/>
      <w:pPr>
        <w:ind w:left="1151" w:hanging="1151"/>
      </w:pPr>
      <w:rPr>
        <w:rFonts w:hint="default"/>
      </w:rPr>
    </w:lvl>
    <w:lvl w:ilvl="6" w:tentative="0">
      <w:start w:val="1"/>
      <w:numFmt w:val="decimal"/>
      <w:pStyle w:val="8"/>
      <w:lvlText w:val="%1.%2.%3.%4.%5.%6.%7."/>
      <w:lvlJc w:val="left"/>
      <w:pPr>
        <w:ind w:left="1296" w:hanging="1296"/>
      </w:pPr>
      <w:rPr>
        <w:rFonts w:hint="default"/>
      </w:rPr>
    </w:lvl>
    <w:lvl w:ilvl="7" w:tentative="0">
      <w:start w:val="1"/>
      <w:numFmt w:val="decimal"/>
      <w:pStyle w:val="9"/>
      <w:lvlText w:val="%1.%2.%3.%4.%5.%6.%7.%8."/>
      <w:lvlJc w:val="left"/>
      <w:pPr>
        <w:ind w:left="1440" w:hanging="1440"/>
      </w:pPr>
      <w:rPr>
        <w:rFonts w:hint="default"/>
      </w:rPr>
    </w:lvl>
    <w:lvl w:ilvl="8" w:tentative="0">
      <w:start w:val="1"/>
      <w:numFmt w:val="decimal"/>
      <w:pStyle w:val="10"/>
      <w:lvlText w:val="%1.%2.%3.%4.%5.%6.%7.%8.%9."/>
      <w:lvlJc w:val="left"/>
      <w:pPr>
        <w:ind w:left="1583" w:hanging="1583"/>
      </w:pPr>
      <w:rPr>
        <w:rFonts w:hint="default"/>
      </w:rPr>
    </w:lvl>
  </w:abstractNum>
  <w:abstractNum w:abstractNumId="8">
    <w:nsid w:val="E6EDC519"/>
    <w:multiLevelType w:val="singleLevel"/>
    <w:tmpl w:val="E6EDC519"/>
    <w:lvl w:ilvl="0" w:tentative="0">
      <w:start w:val="1"/>
      <w:numFmt w:val="decimal"/>
      <w:lvlText w:val="%1)"/>
      <w:lvlJc w:val="left"/>
      <w:pPr>
        <w:ind w:left="425" w:hanging="425"/>
      </w:pPr>
      <w:rPr>
        <w:rFonts w:hint="default"/>
      </w:rPr>
    </w:lvl>
  </w:abstractNum>
  <w:abstractNum w:abstractNumId="9">
    <w:nsid w:val="E9F0141F"/>
    <w:multiLevelType w:val="singleLevel"/>
    <w:tmpl w:val="E9F0141F"/>
    <w:lvl w:ilvl="0" w:tentative="0">
      <w:start w:val="1"/>
      <w:numFmt w:val="decimal"/>
      <w:lvlText w:val="%1)"/>
      <w:lvlJc w:val="left"/>
      <w:pPr>
        <w:ind w:left="425" w:hanging="425"/>
      </w:pPr>
      <w:rPr>
        <w:rFonts w:hint="default"/>
      </w:rPr>
    </w:lvl>
  </w:abstractNum>
  <w:abstractNum w:abstractNumId="10">
    <w:nsid w:val="F047C7A6"/>
    <w:multiLevelType w:val="singleLevel"/>
    <w:tmpl w:val="F047C7A6"/>
    <w:lvl w:ilvl="0" w:tentative="0">
      <w:start w:val="1"/>
      <w:numFmt w:val="decimal"/>
      <w:lvlText w:val="%1)"/>
      <w:lvlJc w:val="left"/>
      <w:pPr>
        <w:ind w:left="425" w:hanging="425"/>
      </w:pPr>
      <w:rPr>
        <w:rFonts w:hint="default"/>
      </w:rPr>
    </w:lvl>
  </w:abstractNum>
  <w:abstractNum w:abstractNumId="11">
    <w:nsid w:val="FE39D931"/>
    <w:multiLevelType w:val="singleLevel"/>
    <w:tmpl w:val="FE39D931"/>
    <w:lvl w:ilvl="0" w:tentative="0">
      <w:start w:val="1"/>
      <w:numFmt w:val="decimal"/>
      <w:lvlText w:val="%1)"/>
      <w:lvlJc w:val="left"/>
      <w:pPr>
        <w:ind w:left="425" w:hanging="425"/>
      </w:pPr>
      <w:rPr>
        <w:rFonts w:hint="default"/>
      </w:rPr>
    </w:lvl>
  </w:abstractNum>
  <w:abstractNum w:abstractNumId="12">
    <w:nsid w:val="02BEE44F"/>
    <w:multiLevelType w:val="singleLevel"/>
    <w:tmpl w:val="02BEE44F"/>
    <w:lvl w:ilvl="0" w:tentative="0">
      <w:start w:val="1"/>
      <w:numFmt w:val="decimal"/>
      <w:lvlText w:val="%1)"/>
      <w:lvlJc w:val="left"/>
      <w:pPr>
        <w:ind w:left="425" w:hanging="425"/>
      </w:pPr>
      <w:rPr>
        <w:rFonts w:hint="default"/>
      </w:rPr>
    </w:lvl>
  </w:abstractNum>
  <w:abstractNum w:abstractNumId="13">
    <w:nsid w:val="04A6D091"/>
    <w:multiLevelType w:val="singleLevel"/>
    <w:tmpl w:val="04A6D091"/>
    <w:lvl w:ilvl="0" w:tentative="0">
      <w:start w:val="1"/>
      <w:numFmt w:val="bullet"/>
      <w:lvlText w:val=""/>
      <w:lvlJc w:val="left"/>
      <w:pPr>
        <w:ind w:left="420" w:hanging="420"/>
      </w:pPr>
      <w:rPr>
        <w:rFonts w:hint="default" w:ascii="Wingdings" w:hAnsi="Wingdings"/>
      </w:rPr>
    </w:lvl>
  </w:abstractNum>
  <w:abstractNum w:abstractNumId="14">
    <w:nsid w:val="11C9F5CD"/>
    <w:multiLevelType w:val="singleLevel"/>
    <w:tmpl w:val="11C9F5CD"/>
    <w:lvl w:ilvl="0" w:tentative="0">
      <w:start w:val="1"/>
      <w:numFmt w:val="decimal"/>
      <w:lvlText w:val="%1)"/>
      <w:lvlJc w:val="left"/>
      <w:pPr>
        <w:ind w:left="425" w:hanging="425"/>
      </w:pPr>
      <w:rPr>
        <w:rFonts w:hint="default"/>
      </w:rPr>
    </w:lvl>
  </w:abstractNum>
  <w:abstractNum w:abstractNumId="15">
    <w:nsid w:val="22DA798F"/>
    <w:multiLevelType w:val="singleLevel"/>
    <w:tmpl w:val="22DA798F"/>
    <w:lvl w:ilvl="0" w:tentative="0">
      <w:start w:val="1"/>
      <w:numFmt w:val="decimal"/>
      <w:lvlText w:val="%1)"/>
      <w:lvlJc w:val="left"/>
      <w:pPr>
        <w:ind w:left="425" w:hanging="425"/>
      </w:pPr>
      <w:rPr>
        <w:rFonts w:hint="default"/>
      </w:rPr>
    </w:lvl>
  </w:abstractNum>
  <w:abstractNum w:abstractNumId="16">
    <w:nsid w:val="348EEA6A"/>
    <w:multiLevelType w:val="singleLevel"/>
    <w:tmpl w:val="348EEA6A"/>
    <w:lvl w:ilvl="0" w:tentative="0">
      <w:start w:val="1"/>
      <w:numFmt w:val="decimal"/>
      <w:lvlText w:val="%1)"/>
      <w:lvlJc w:val="left"/>
      <w:pPr>
        <w:ind w:left="425" w:hanging="425"/>
      </w:pPr>
      <w:rPr>
        <w:rFonts w:hint="default"/>
      </w:rPr>
    </w:lvl>
  </w:abstractNum>
  <w:abstractNum w:abstractNumId="17">
    <w:nsid w:val="3BBA535B"/>
    <w:multiLevelType w:val="singleLevel"/>
    <w:tmpl w:val="3BBA535B"/>
    <w:lvl w:ilvl="0" w:tentative="0">
      <w:start w:val="1"/>
      <w:numFmt w:val="decimal"/>
      <w:lvlText w:val="%1)"/>
      <w:lvlJc w:val="left"/>
      <w:pPr>
        <w:ind w:left="425" w:hanging="425"/>
      </w:pPr>
      <w:rPr>
        <w:rFonts w:hint="default"/>
      </w:rPr>
    </w:lvl>
  </w:abstractNum>
  <w:abstractNum w:abstractNumId="18">
    <w:nsid w:val="3C3DEB1F"/>
    <w:multiLevelType w:val="singleLevel"/>
    <w:tmpl w:val="3C3DEB1F"/>
    <w:lvl w:ilvl="0" w:tentative="0">
      <w:start w:val="1"/>
      <w:numFmt w:val="decimal"/>
      <w:lvlText w:val="%1)"/>
      <w:lvlJc w:val="left"/>
      <w:pPr>
        <w:ind w:left="425" w:hanging="425"/>
      </w:pPr>
      <w:rPr>
        <w:rFonts w:hint="default"/>
      </w:rPr>
    </w:lvl>
  </w:abstractNum>
  <w:abstractNum w:abstractNumId="19">
    <w:nsid w:val="4165A2A8"/>
    <w:multiLevelType w:val="singleLevel"/>
    <w:tmpl w:val="4165A2A8"/>
    <w:lvl w:ilvl="0" w:tentative="0">
      <w:start w:val="1"/>
      <w:numFmt w:val="decimal"/>
      <w:lvlText w:val="%1)"/>
      <w:lvlJc w:val="left"/>
      <w:pPr>
        <w:ind w:left="425" w:hanging="425"/>
      </w:pPr>
      <w:rPr>
        <w:rFonts w:hint="default"/>
      </w:rPr>
    </w:lvl>
  </w:abstractNum>
  <w:abstractNum w:abstractNumId="20">
    <w:nsid w:val="507216F5"/>
    <w:multiLevelType w:val="singleLevel"/>
    <w:tmpl w:val="507216F5"/>
    <w:lvl w:ilvl="0" w:tentative="0">
      <w:start w:val="1"/>
      <w:numFmt w:val="decimal"/>
      <w:lvlText w:val="%1)"/>
      <w:lvlJc w:val="left"/>
      <w:pPr>
        <w:ind w:left="425" w:hanging="425"/>
      </w:pPr>
      <w:rPr>
        <w:rFonts w:hint="default"/>
      </w:rPr>
    </w:lvl>
  </w:abstractNum>
  <w:abstractNum w:abstractNumId="21">
    <w:nsid w:val="6A86E9B3"/>
    <w:multiLevelType w:val="singleLevel"/>
    <w:tmpl w:val="6A86E9B3"/>
    <w:lvl w:ilvl="0" w:tentative="0">
      <w:start w:val="1"/>
      <w:numFmt w:val="decimal"/>
      <w:lvlText w:val="%1)"/>
      <w:lvlJc w:val="left"/>
      <w:pPr>
        <w:ind w:left="425" w:hanging="425"/>
      </w:pPr>
      <w:rPr>
        <w:rFonts w:hint="default"/>
      </w:rPr>
    </w:lvl>
  </w:abstractNum>
  <w:abstractNum w:abstractNumId="22">
    <w:nsid w:val="6AEDCA14"/>
    <w:multiLevelType w:val="singleLevel"/>
    <w:tmpl w:val="6AEDCA14"/>
    <w:lvl w:ilvl="0" w:tentative="0">
      <w:start w:val="1"/>
      <w:numFmt w:val="decimal"/>
      <w:lvlText w:val="%1)"/>
      <w:lvlJc w:val="left"/>
      <w:pPr>
        <w:ind w:left="425" w:hanging="425"/>
      </w:pPr>
      <w:rPr>
        <w:rFonts w:hint="default"/>
      </w:rPr>
    </w:lvl>
  </w:abstractNum>
  <w:abstractNum w:abstractNumId="23">
    <w:nsid w:val="7CF7FB87"/>
    <w:multiLevelType w:val="singleLevel"/>
    <w:tmpl w:val="7CF7FB87"/>
    <w:lvl w:ilvl="0" w:tentative="0">
      <w:start w:val="1"/>
      <w:numFmt w:val="decimal"/>
      <w:lvlText w:val="%1)"/>
      <w:lvlJc w:val="left"/>
      <w:pPr>
        <w:ind w:left="425" w:hanging="425"/>
      </w:pPr>
      <w:rPr>
        <w:rFonts w:hint="default"/>
      </w:rPr>
    </w:lvl>
  </w:abstractNum>
  <w:abstractNum w:abstractNumId="24">
    <w:nsid w:val="7FB40828"/>
    <w:multiLevelType w:val="singleLevel"/>
    <w:tmpl w:val="7FB40828"/>
    <w:lvl w:ilvl="0" w:tentative="0">
      <w:start w:val="1"/>
      <w:numFmt w:val="decimal"/>
      <w:lvlText w:val="%1)"/>
      <w:lvlJc w:val="left"/>
      <w:pPr>
        <w:ind w:left="425" w:hanging="425"/>
      </w:pPr>
      <w:rPr>
        <w:rFonts w:hint="default"/>
      </w:rPr>
    </w:lvl>
  </w:abstractNum>
  <w:abstractNum w:abstractNumId="25">
    <w:nsid w:val="7FBD97B6"/>
    <w:multiLevelType w:val="singleLevel"/>
    <w:tmpl w:val="7FBD97B6"/>
    <w:lvl w:ilvl="0" w:tentative="0">
      <w:start w:val="1"/>
      <w:numFmt w:val="decimal"/>
      <w:lvlText w:val="%1)"/>
      <w:lvlJc w:val="left"/>
      <w:pPr>
        <w:ind w:left="425" w:hanging="425"/>
      </w:pPr>
      <w:rPr>
        <w:rFonts w:hint="default"/>
      </w:rPr>
    </w:lvl>
  </w:abstractNum>
  <w:num w:numId="1">
    <w:abstractNumId w:val="7"/>
  </w:num>
  <w:num w:numId="2">
    <w:abstractNumId w:val="18"/>
  </w:num>
  <w:num w:numId="3">
    <w:abstractNumId w:val="8"/>
  </w:num>
  <w:num w:numId="4">
    <w:abstractNumId w:val="0"/>
  </w:num>
  <w:num w:numId="5">
    <w:abstractNumId w:val="1"/>
  </w:num>
  <w:num w:numId="6">
    <w:abstractNumId w:val="5"/>
  </w:num>
  <w:num w:numId="7">
    <w:abstractNumId w:val="21"/>
  </w:num>
  <w:num w:numId="8">
    <w:abstractNumId w:val="4"/>
  </w:num>
  <w:num w:numId="9">
    <w:abstractNumId w:val="24"/>
  </w:num>
  <w:num w:numId="10">
    <w:abstractNumId w:val="11"/>
  </w:num>
  <w:num w:numId="11">
    <w:abstractNumId w:val="6"/>
  </w:num>
  <w:num w:numId="12">
    <w:abstractNumId w:val="17"/>
  </w:num>
  <w:num w:numId="13">
    <w:abstractNumId w:val="25"/>
  </w:num>
  <w:num w:numId="14">
    <w:abstractNumId w:val="3"/>
  </w:num>
  <w:num w:numId="15">
    <w:abstractNumId w:val="14"/>
  </w:num>
  <w:num w:numId="16">
    <w:abstractNumId w:val="2"/>
  </w:num>
  <w:num w:numId="17">
    <w:abstractNumId w:val="23"/>
  </w:num>
  <w:num w:numId="18">
    <w:abstractNumId w:val="13"/>
  </w:num>
  <w:num w:numId="19">
    <w:abstractNumId w:val="16"/>
  </w:num>
  <w:num w:numId="20">
    <w:abstractNumId w:val="19"/>
  </w:num>
  <w:num w:numId="21">
    <w:abstractNumId w:val="22"/>
  </w:num>
  <w:num w:numId="22">
    <w:abstractNumId w:val="12"/>
  </w:num>
  <w:num w:numId="23">
    <w:abstractNumId w:val="9"/>
  </w:num>
  <w:num w:numId="24">
    <w:abstractNumId w:val="15"/>
  </w:num>
  <w:num w:numId="25">
    <w:abstractNumId w:val="10"/>
  </w:num>
  <w:num w:numId="26">
    <w:abstractNumId w:val="2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刘小九">
    <w15:presenceInfo w15:providerId="WPS Office" w15:userId="41322337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121000B0"/>
    <w:rsid w:val="35282221"/>
    <w:rsid w:val="3A996870"/>
    <w:rsid w:val="455B7433"/>
    <w:rsid w:val="6D5405C9"/>
    <w:rsid w:val="72D56743"/>
    <w:rsid w:val="74FE2296"/>
    <w:rsid w:val="75C2295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numPr>
        <w:ilvl w:val="0"/>
        <w:numId w:val="1"/>
      </w:numPr>
      <w:spacing w:before="340" w:beforeLines="0" w:beforeAutospacing="0" w:after="330" w:afterLines="0" w:afterAutospacing="0" w:line="576" w:lineRule="auto"/>
      <w:ind w:left="432" w:hanging="432"/>
      <w:outlineLvl w:val="0"/>
    </w:pPr>
    <w:rPr>
      <w:b/>
      <w:kern w:val="44"/>
      <w:sz w:val="44"/>
    </w:rPr>
  </w:style>
  <w:style w:type="paragraph" w:styleId="3">
    <w:name w:val="heading 2"/>
    <w:basedOn w:val="1"/>
    <w:next w:val="1"/>
    <w:unhideWhenUsed/>
    <w:qFormat/>
    <w:uiPriority w:val="0"/>
    <w:pPr>
      <w:keepNext/>
      <w:keepLines/>
      <w:numPr>
        <w:ilvl w:val="1"/>
        <w:numId w:val="1"/>
      </w:numPr>
      <w:spacing w:before="260" w:beforeLines="0" w:beforeAutospacing="0" w:after="260" w:afterLines="0" w:afterAutospacing="0" w:line="413" w:lineRule="auto"/>
      <w:ind w:left="575" w:hanging="575"/>
      <w:outlineLvl w:val="1"/>
    </w:pPr>
    <w:rPr>
      <w:rFonts w:ascii="Arial" w:hAnsi="Arial" w:eastAsia="黑体"/>
      <w:b/>
      <w:sz w:val="32"/>
    </w:rPr>
  </w:style>
  <w:style w:type="paragraph" w:styleId="4">
    <w:name w:val="heading 3"/>
    <w:basedOn w:val="1"/>
    <w:next w:val="1"/>
    <w:unhideWhenUsed/>
    <w:qFormat/>
    <w:uiPriority w:val="0"/>
    <w:pPr>
      <w:keepNext/>
      <w:keepLines/>
      <w:numPr>
        <w:ilvl w:val="2"/>
        <w:numId w:val="1"/>
      </w:numPr>
      <w:spacing w:before="260" w:beforeLines="0" w:beforeAutospacing="0" w:after="260" w:afterLines="0" w:afterAutospacing="0" w:line="413" w:lineRule="auto"/>
      <w:ind w:left="720" w:hanging="720"/>
      <w:outlineLvl w:val="2"/>
    </w:pPr>
    <w:rPr>
      <w:b/>
      <w:sz w:val="32"/>
    </w:rPr>
  </w:style>
  <w:style w:type="paragraph" w:styleId="5">
    <w:name w:val="heading 4"/>
    <w:basedOn w:val="1"/>
    <w:next w:val="1"/>
    <w:unhideWhenUsed/>
    <w:qFormat/>
    <w:uiPriority w:val="0"/>
    <w:pPr>
      <w:keepNext/>
      <w:keepLines/>
      <w:numPr>
        <w:ilvl w:val="3"/>
        <w:numId w:val="1"/>
      </w:numPr>
      <w:spacing w:before="280" w:beforeLines="0" w:beforeAutospacing="0" w:after="290" w:afterLines="0" w:afterAutospacing="0" w:line="372" w:lineRule="auto"/>
      <w:ind w:left="864" w:hanging="864"/>
      <w:outlineLvl w:val="3"/>
    </w:pPr>
    <w:rPr>
      <w:rFonts w:ascii="Arial" w:hAnsi="Arial" w:eastAsia="黑体"/>
      <w:b/>
      <w:sz w:val="28"/>
    </w:rPr>
  </w:style>
  <w:style w:type="paragraph" w:styleId="6">
    <w:name w:val="heading 5"/>
    <w:basedOn w:val="1"/>
    <w:next w:val="1"/>
    <w:unhideWhenUsed/>
    <w:qFormat/>
    <w:uiPriority w:val="0"/>
    <w:pPr>
      <w:keepNext/>
      <w:keepLines/>
      <w:numPr>
        <w:ilvl w:val="4"/>
        <w:numId w:val="1"/>
      </w:numPr>
      <w:spacing w:before="280" w:beforeLines="0" w:beforeAutospacing="0" w:after="290" w:afterLines="0" w:afterAutospacing="0" w:line="372" w:lineRule="auto"/>
      <w:ind w:left="1008" w:hanging="1008"/>
      <w:outlineLvl w:val="4"/>
    </w:pPr>
    <w:rPr>
      <w:b/>
      <w:sz w:val="28"/>
    </w:rPr>
  </w:style>
  <w:style w:type="paragraph" w:styleId="7">
    <w:name w:val="heading 6"/>
    <w:basedOn w:val="1"/>
    <w:next w:val="1"/>
    <w:semiHidden/>
    <w:unhideWhenUsed/>
    <w:qFormat/>
    <w:uiPriority w:val="0"/>
    <w:pPr>
      <w:keepNext/>
      <w:keepLines/>
      <w:numPr>
        <w:ilvl w:val="5"/>
        <w:numId w:val="1"/>
      </w:numPr>
      <w:spacing w:before="240" w:beforeLines="0" w:beforeAutospacing="0" w:after="64" w:afterLines="0" w:afterAutospacing="0" w:line="317" w:lineRule="auto"/>
      <w:ind w:left="1151" w:hanging="1151"/>
      <w:outlineLvl w:val="5"/>
    </w:pPr>
    <w:rPr>
      <w:rFonts w:ascii="Arial" w:hAnsi="Arial" w:eastAsia="黑体"/>
      <w:b/>
      <w:sz w:val="24"/>
    </w:rPr>
  </w:style>
  <w:style w:type="paragraph" w:styleId="8">
    <w:name w:val="heading 7"/>
    <w:basedOn w:val="1"/>
    <w:next w:val="1"/>
    <w:semiHidden/>
    <w:unhideWhenUsed/>
    <w:qFormat/>
    <w:uiPriority w:val="0"/>
    <w:pPr>
      <w:keepNext/>
      <w:keepLines/>
      <w:numPr>
        <w:ilvl w:val="6"/>
        <w:numId w:val="1"/>
      </w:numPr>
      <w:spacing w:before="240" w:beforeLines="0" w:beforeAutospacing="0" w:after="64" w:afterLines="0" w:afterAutospacing="0" w:line="317" w:lineRule="auto"/>
      <w:ind w:left="1296" w:hanging="1296"/>
      <w:outlineLvl w:val="6"/>
    </w:pPr>
    <w:rPr>
      <w:b/>
      <w:sz w:val="24"/>
    </w:rPr>
  </w:style>
  <w:style w:type="paragraph" w:styleId="9">
    <w:name w:val="heading 8"/>
    <w:basedOn w:val="1"/>
    <w:next w:val="1"/>
    <w:semiHidden/>
    <w:unhideWhenUsed/>
    <w:qFormat/>
    <w:uiPriority w:val="0"/>
    <w:pPr>
      <w:keepNext/>
      <w:keepLines/>
      <w:numPr>
        <w:ilvl w:val="7"/>
        <w:numId w:val="1"/>
      </w:numPr>
      <w:spacing w:before="240" w:beforeLines="0" w:beforeAutospacing="0" w:after="64" w:afterLines="0" w:afterAutospacing="0" w:line="317" w:lineRule="auto"/>
      <w:ind w:left="1440" w:hanging="1440"/>
      <w:outlineLvl w:val="7"/>
    </w:pPr>
    <w:rPr>
      <w:rFonts w:ascii="Arial" w:hAnsi="Arial" w:eastAsia="黑体"/>
      <w:sz w:val="24"/>
    </w:rPr>
  </w:style>
  <w:style w:type="paragraph" w:styleId="10">
    <w:name w:val="heading 9"/>
    <w:basedOn w:val="1"/>
    <w:next w:val="1"/>
    <w:semiHidden/>
    <w:unhideWhenUsed/>
    <w:qFormat/>
    <w:uiPriority w:val="0"/>
    <w:pPr>
      <w:keepNext/>
      <w:keepLines/>
      <w:numPr>
        <w:ilvl w:val="8"/>
        <w:numId w:val="1"/>
      </w:numPr>
      <w:spacing w:before="240" w:beforeLines="0" w:beforeAutospacing="0" w:after="64" w:afterLines="0" w:afterAutospacing="0" w:line="317" w:lineRule="auto"/>
      <w:ind w:left="1583" w:hanging="1583"/>
      <w:outlineLvl w:val="8"/>
    </w:pPr>
    <w:rPr>
      <w:rFonts w:ascii="Arial" w:hAnsi="Arial" w:eastAsia="黑体"/>
      <w:sz w:val="21"/>
    </w:rPr>
  </w:style>
  <w:style w:type="character" w:default="1" w:styleId="13">
    <w:name w:val="Default Paragraph Font"/>
    <w:semiHidden/>
    <w:qFormat/>
    <w:uiPriority w:val="0"/>
  </w:style>
  <w:style w:type="table" w:default="1" w:styleId="12">
    <w:name w:val="Normal Table"/>
    <w:semiHidden/>
    <w:qFormat/>
    <w:uiPriority w:val="0"/>
    <w:tblPr>
      <w:tblCellMar>
        <w:top w:w="0" w:type="dxa"/>
        <w:left w:w="108" w:type="dxa"/>
        <w:bottom w:w="0" w:type="dxa"/>
        <w:right w:w="108" w:type="dxa"/>
      </w:tblCellMar>
    </w:tblPr>
  </w:style>
  <w:style w:type="paragraph" w:styleId="11">
    <w:name w:val="annotation text"/>
    <w:basedOn w:val="1"/>
    <w:uiPriority w:val="0"/>
    <w:pPr>
      <w:jc w:val="left"/>
    </w:p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emf"/><Relationship Id="rId7" Type="http://schemas.openxmlformats.org/officeDocument/2006/relationships/oleObject" Target="embeddings/oleObject1.bin"/><Relationship Id="rId6" Type="http://schemas.openxmlformats.org/officeDocument/2006/relationships/image" Target="media/image1.png"/><Relationship Id="rId52" Type="http://schemas.microsoft.com/office/2011/relationships/people" Target="people.xml"/><Relationship Id="rId51" Type="http://schemas.openxmlformats.org/officeDocument/2006/relationships/fontTable" Target="fontTable.xml"/><Relationship Id="rId50" Type="http://schemas.openxmlformats.org/officeDocument/2006/relationships/numbering" Target="numbering.xml"/><Relationship Id="rId5" Type="http://schemas.openxmlformats.org/officeDocument/2006/relationships/theme" Target="theme/theme1.xml"/><Relationship Id="rId49" Type="http://schemas.openxmlformats.org/officeDocument/2006/relationships/customXml" Target="../customXml/item1.xml"/><Relationship Id="rId48" Type="http://schemas.openxmlformats.org/officeDocument/2006/relationships/image" Target="media/image42.png"/><Relationship Id="rId47" Type="http://schemas.openxmlformats.org/officeDocument/2006/relationships/image" Target="media/image41.png"/><Relationship Id="rId46" Type="http://schemas.openxmlformats.org/officeDocument/2006/relationships/image" Target="media/image40.png"/><Relationship Id="rId45" Type="http://schemas.openxmlformats.org/officeDocument/2006/relationships/image" Target="media/image39.png"/><Relationship Id="rId44" Type="http://schemas.openxmlformats.org/officeDocument/2006/relationships/image" Target="media/image38.png"/><Relationship Id="rId43" Type="http://schemas.openxmlformats.org/officeDocument/2006/relationships/image" Target="media/image37.png"/><Relationship Id="rId42" Type="http://schemas.openxmlformats.org/officeDocument/2006/relationships/image" Target="media/image36.png"/><Relationship Id="rId41" Type="http://schemas.openxmlformats.org/officeDocument/2006/relationships/image" Target="media/image35.png"/><Relationship Id="rId40" Type="http://schemas.openxmlformats.org/officeDocument/2006/relationships/image" Target="media/image34.png"/><Relationship Id="rId4" Type="http://schemas.microsoft.com/office/2011/relationships/commentsExtended" Target="commentsExtended.xml"/><Relationship Id="rId39" Type="http://schemas.openxmlformats.org/officeDocument/2006/relationships/image" Target="media/image33.png"/><Relationship Id="rId38" Type="http://schemas.openxmlformats.org/officeDocument/2006/relationships/image" Target="media/image32.png"/><Relationship Id="rId37" Type="http://schemas.openxmlformats.org/officeDocument/2006/relationships/image" Target="media/image31.png"/><Relationship Id="rId36" Type="http://schemas.openxmlformats.org/officeDocument/2006/relationships/image" Target="media/image30.png"/><Relationship Id="rId35" Type="http://schemas.openxmlformats.org/officeDocument/2006/relationships/image" Target="media/image29.png"/><Relationship Id="rId34" Type="http://schemas.openxmlformats.org/officeDocument/2006/relationships/image" Target="media/image28.png"/><Relationship Id="rId33" Type="http://schemas.openxmlformats.org/officeDocument/2006/relationships/image" Target="media/image27.png"/><Relationship Id="rId32" Type="http://schemas.openxmlformats.org/officeDocument/2006/relationships/image" Target="media/image26.png"/><Relationship Id="rId31" Type="http://schemas.openxmlformats.org/officeDocument/2006/relationships/image" Target="media/image25.png"/><Relationship Id="rId30" Type="http://schemas.openxmlformats.org/officeDocument/2006/relationships/image" Target="media/image24.png"/><Relationship Id="rId3" Type="http://schemas.openxmlformats.org/officeDocument/2006/relationships/comments" Target="comments.xml"/><Relationship Id="rId29" Type="http://schemas.openxmlformats.org/officeDocument/2006/relationships/image" Target="media/image23.png"/><Relationship Id="rId28" Type="http://schemas.openxmlformats.org/officeDocument/2006/relationships/image" Target="media/image22.png"/><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16</TotalTime>
  <ScaleCrop>false</ScaleCrop>
  <LinksUpToDate>false</LinksUpToDate>
  <CharactersWithSpaces>0</CharactersWithSpaces>
  <Application>WPS Office_11.1.0.10228_F1E327BC-269C-435d-A152-05C5408002CA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2020-12-31T07:59:00Z</dcterms:created>
  <dc:creator>admin</dc:creator>
  <cp:lastModifiedBy>linger</cp:lastModifiedBy>
  <dcterms:modified xsi:type="dcterms:W3CDTF">2021-01-07T04:38:13Z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2052-11.1.0.10228</vt:lpwstr>
  </property>
</Properties>
</file>