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</w:t>
      </w:r>
    </w:p>
    <w:p>
      <w:pPr>
        <w:pStyle w:val="11"/>
        <w:jc w:val="left"/>
        <w:outlineLvl w:val="9"/>
        <w:rPr>
          <w:rFonts w:hint="eastAsia" w:asciiTheme="majorEastAsia" w:hAnsiTheme="majorEastAsia" w:eastAsiaTheme="majorEastAsia"/>
          <w:b w:val="0"/>
          <w:bCs w:val="0"/>
          <w:sz w:val="32"/>
          <w:szCs w:val="32"/>
          <w:lang w:val="en-US" w:eastAsia="zh-CN"/>
        </w:rPr>
      </w:pPr>
      <w:bookmarkStart w:id="0" w:name="_Toc28835"/>
      <w:bookmarkStart w:id="1" w:name="_Toc384059361"/>
      <w:r>
        <w:rPr>
          <w:rFonts w:hint="eastAsia" w:asciiTheme="majorEastAsia" w:hAnsiTheme="majorEastAsia" w:eastAsiaTheme="majorEastAsia"/>
          <w:b w:val="0"/>
          <w:bCs w:val="0"/>
          <w:sz w:val="32"/>
          <w:szCs w:val="32"/>
          <w:lang w:val="en-US" w:eastAsia="zh-CN"/>
        </w:rPr>
        <w:t>附件1</w:t>
      </w:r>
    </w:p>
    <w:p>
      <w:pPr>
        <w:pStyle w:val="11"/>
        <w:outlineLvl w:val="9"/>
        <w:rPr>
          <w:rFonts w:asciiTheme="majorEastAsia" w:hAnsiTheme="majorEastAsia" w:eastAsiaTheme="majorEastAsia"/>
          <w:sz w:val="44"/>
          <w:szCs w:val="44"/>
        </w:rPr>
      </w:pPr>
    </w:p>
    <w:p>
      <w:pPr>
        <w:pStyle w:val="11"/>
        <w:outlineLvl w:val="9"/>
        <w:rPr>
          <w:rFonts w:asciiTheme="majorEastAsia" w:hAnsiTheme="majorEastAsia" w:eastAsiaTheme="majorEastAsia"/>
          <w:b/>
          <w:bCs/>
          <w:sz w:val="44"/>
          <w:szCs w:val="44"/>
        </w:rPr>
      </w:pPr>
    </w:p>
    <w:bookmarkEnd w:id="0"/>
    <w:bookmarkEnd w:id="1"/>
    <w:p>
      <w:pPr>
        <w:jc w:val="center"/>
        <w:rPr>
          <w:rFonts w:hint="eastAsia" w:asciiTheme="majorEastAsia" w:hAnsiTheme="majorEastAsia" w:eastAsiaTheme="majorEastAsia"/>
          <w:b/>
          <w:bCs/>
          <w:sz w:val="44"/>
          <w:szCs w:val="44"/>
        </w:rPr>
      </w:pPr>
      <w:bookmarkStart w:id="2" w:name="_Toc16005_WPSOffice_Level1"/>
      <w:r>
        <w:rPr>
          <w:rFonts w:hint="eastAsia" w:asciiTheme="majorEastAsia" w:hAnsiTheme="majorEastAsia" w:eastAsiaTheme="majorEastAsia"/>
          <w:b/>
          <w:bCs/>
          <w:sz w:val="44"/>
          <w:szCs w:val="44"/>
        </w:rPr>
        <w:t>陕西财政云专项资金项目申报系统</w:t>
      </w:r>
    </w:p>
    <w:p>
      <w:pPr>
        <w:jc w:val="center"/>
        <w:rPr>
          <w:rFonts w:hint="eastAsia" w:asciiTheme="majorEastAsia" w:hAnsiTheme="majorEastAsia" w:eastAsia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bCs/>
          <w:sz w:val="44"/>
          <w:szCs w:val="44"/>
        </w:rPr>
        <w:t>操作手册</w:t>
      </w:r>
    </w:p>
    <w:bookmarkEnd w:id="2"/>
    <w:p>
      <w:pPr>
        <w:jc w:val="both"/>
        <w:rPr>
          <w:rFonts w:hint="eastAsia" w:asciiTheme="majorEastAsia" w:hAnsiTheme="majorEastAsia" w:eastAsiaTheme="majorEastAsia"/>
          <w:b/>
          <w:bCs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Theme="majorEastAsia" w:hAnsiTheme="majorEastAsia" w:eastAsiaTheme="majorEastAsia"/>
          <w:b/>
          <w:bCs/>
          <w:sz w:val="44"/>
          <w:szCs w:val="44"/>
          <w:lang w:val="en-US" w:eastAsia="zh-CN"/>
        </w:rPr>
        <w:t xml:space="preserve">           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374585934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4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"_Toc55293598"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</w:rPr>
            <w:t>陕西财政云</w:t>
          </w:r>
          <w:r>
            <w:rPr>
              <w:rStyle w:val="13"/>
              <w:rFonts w:hint="eastAsia" w:asciiTheme="majorEastAsia" w:hAnsiTheme="majorEastAsia" w:eastAsiaTheme="majorEastAsia"/>
              <w:lang w:val="en-US" w:eastAsia="zh-CN"/>
            </w:rPr>
            <w:t>专项资金项目申报系统</w:t>
          </w:r>
          <w:r>
            <w:tab/>
          </w:r>
          <w:r>
            <w:rPr>
              <w:rFonts w:hint="eastAsia"/>
              <w:lang w:val="en-US" w:eastAsia="zh-CN"/>
            </w:rPr>
            <w:t>.</w:t>
          </w:r>
          <w:r>
            <w:fldChar w:fldCharType="end"/>
          </w:r>
          <w:r>
            <w:rPr>
              <w:rFonts w:hint="eastAsia"/>
              <w:lang w:val="en-US" w:eastAsia="zh-CN"/>
            </w:rPr>
            <w:t>1</w:t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"_Toc55293599"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</w:rPr>
            <w:t>操作手册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"_Toc55293600"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</w:rPr>
            <w:t>第一章 概述</w:t>
          </w:r>
          <w:r>
            <w:tab/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"_Toc55293601" </w:instrText>
          </w:r>
          <w:r>
            <w:fldChar w:fldCharType="separate"/>
          </w:r>
          <w:r>
            <w:rPr>
              <w:rStyle w:val="13"/>
            </w:rPr>
            <w:t>1.1.</w:t>
          </w:r>
          <w:r>
            <w:rPr>
              <w:rStyle w:val="13"/>
              <w:rFonts w:hint="eastAsia"/>
            </w:rPr>
            <w:t>说明</w:t>
          </w:r>
          <w:r>
            <w:tab/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"_Toc55293602" </w:instrText>
          </w:r>
          <w:r>
            <w:fldChar w:fldCharType="separate"/>
          </w:r>
          <w:r>
            <w:rPr>
              <w:rStyle w:val="13"/>
            </w:rPr>
            <w:t>1.2.</w:t>
          </w:r>
          <w:r>
            <w:rPr>
              <w:rStyle w:val="13"/>
              <w:rFonts w:hint="eastAsia"/>
            </w:rPr>
            <w:t>系统登录</w:t>
          </w:r>
          <w:r>
            <w:tab/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"_Toc55293603"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</w:rPr>
            <w:t xml:space="preserve">第二章 </w:t>
          </w:r>
          <w:r>
            <w:rPr>
              <w:rStyle w:val="13"/>
              <w:rFonts w:hint="eastAsia" w:asciiTheme="majorEastAsia" w:hAnsiTheme="majorEastAsia" w:eastAsiaTheme="majorEastAsia"/>
              <w:lang w:val="en-US" w:eastAsia="zh-CN"/>
            </w:rPr>
            <w:t>项目申报及审核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"_Toc55293604" </w:instrText>
          </w:r>
          <w:r>
            <w:fldChar w:fldCharType="separate"/>
          </w:r>
          <w:r>
            <w:rPr>
              <w:rStyle w:val="13"/>
            </w:rPr>
            <w:t>2.1.</w:t>
          </w:r>
          <w:r>
            <w:rPr>
              <w:szCs w:val="22"/>
            </w:rPr>
            <w:tab/>
          </w:r>
          <w:r>
            <w:rPr>
              <w:rStyle w:val="13"/>
              <w:rFonts w:hint="eastAsia"/>
            </w:rPr>
            <w:t>专项资金目录授权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"_Toc55293605" </w:instrText>
          </w:r>
          <w:r>
            <w:fldChar w:fldCharType="separate"/>
          </w:r>
          <w:r>
            <w:rPr>
              <w:rStyle w:val="13"/>
            </w:rPr>
            <w:t>2.2.</w:t>
          </w:r>
          <w:r>
            <w:rPr>
              <w:szCs w:val="22"/>
            </w:rPr>
            <w:tab/>
          </w:r>
          <w:r>
            <w:rPr>
              <w:rStyle w:val="13"/>
              <w:rFonts w:hint="eastAsia"/>
            </w:rPr>
            <w:t>项目申报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"_Toc55293606" </w:instrText>
          </w:r>
          <w:r>
            <w:fldChar w:fldCharType="separate"/>
          </w:r>
          <w:r>
            <w:rPr>
              <w:rStyle w:val="13"/>
            </w:rPr>
            <w:t>2.3.</w:t>
          </w:r>
          <w:r>
            <w:rPr>
              <w:szCs w:val="22"/>
            </w:rPr>
            <w:tab/>
          </w:r>
          <w:r>
            <w:rPr>
              <w:rStyle w:val="13"/>
              <w:rFonts w:hint="eastAsia"/>
            </w:rPr>
            <w:t>项目审核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>
          <w:pPr/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Theme="majorEastAsia" w:hAnsiTheme="majorEastAsia" w:eastAsiaTheme="majorEastAsia" w:cstheme="majorEastAsia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jc w:val="left"/>
        <w:rPr>
          <w:rFonts w:hint="eastAsia" w:ascii="黑体" w:hAnsi="黑体" w:eastAsia="黑体" w:cs="黑体"/>
          <w:sz w:val="40"/>
          <w:szCs w:val="22"/>
        </w:rPr>
      </w:pPr>
      <w:bookmarkStart w:id="3" w:name="_Toc6619_WPSOffice_Level1"/>
      <w:bookmarkStart w:id="4" w:name="_Toc55293600"/>
      <w:r>
        <w:rPr>
          <w:rFonts w:hint="eastAsia" w:ascii="黑体" w:hAnsi="黑体" w:eastAsia="黑体" w:cs="黑体"/>
          <w:sz w:val="40"/>
          <w:szCs w:val="22"/>
        </w:rPr>
        <w:t>概述</w:t>
      </w:r>
      <w:bookmarkEnd w:id="3"/>
      <w:bookmarkEnd w:id="4"/>
    </w:p>
    <w:p>
      <w:pPr>
        <w:pStyle w:val="3"/>
        <w:numPr>
          <w:ilvl w:val="1"/>
          <w:numId w:val="0"/>
        </w:numPr>
        <w:jc w:val="left"/>
      </w:pPr>
      <w:bookmarkStart w:id="5" w:name="_Toc55293601"/>
      <w:bookmarkStart w:id="6" w:name="_Toc20564_WPSOffice_Level2"/>
      <w:r>
        <w:rPr>
          <w:rFonts w:hint="eastAsia"/>
        </w:rPr>
        <w:t>1.1.说明</w:t>
      </w:r>
      <w:bookmarkEnd w:id="5"/>
      <w:bookmarkEnd w:id="6"/>
    </w:p>
    <w:p>
      <w:pPr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该操作手册详细介绍了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财政云预算单位用户进行专项资金</w:t>
      </w:r>
      <w:r>
        <w:rPr>
          <w:rFonts w:hint="eastAsia" w:asciiTheme="majorEastAsia" w:hAnsiTheme="majorEastAsia" w:eastAsiaTheme="majorEastAsia"/>
          <w:sz w:val="24"/>
        </w:rPr>
        <w:t>项目申报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时系统操作</w:t>
      </w:r>
      <w:r>
        <w:rPr>
          <w:rFonts w:hint="eastAsia" w:asciiTheme="majorEastAsia" w:hAnsiTheme="majorEastAsia" w:eastAsiaTheme="majorEastAsia"/>
          <w:sz w:val="24"/>
        </w:rPr>
        <w:t>流程及注意事项。</w:t>
      </w:r>
    </w:p>
    <w:p>
      <w:pPr>
        <w:pStyle w:val="3"/>
        <w:numPr>
          <w:ilvl w:val="1"/>
          <w:numId w:val="0"/>
        </w:numPr>
        <w:jc w:val="left"/>
      </w:pPr>
      <w:bookmarkStart w:id="7" w:name="_Toc55293602"/>
      <w:bookmarkStart w:id="8" w:name="_Toc8747_WPSOffice_Level2"/>
      <w:r>
        <w:rPr>
          <w:rFonts w:hint="eastAsia"/>
        </w:rPr>
        <w:t>1.2.系统登录</w:t>
      </w:r>
      <w:bookmarkEnd w:id="7"/>
      <w:bookmarkEnd w:id="8"/>
    </w:p>
    <w:p>
      <w:pPr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预算单位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系统</w:t>
      </w:r>
      <w:r>
        <w:rPr>
          <w:rFonts w:hint="eastAsia" w:asciiTheme="majorEastAsia" w:hAnsiTheme="majorEastAsia" w:eastAsiaTheme="majorEastAsia"/>
          <w:sz w:val="24"/>
        </w:rPr>
        <w:t>用户通过财政云门户网站登录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后</w:t>
      </w:r>
      <w:r>
        <w:rPr>
          <w:rFonts w:hint="eastAsia" w:asciiTheme="majorEastAsia" w:hAnsiTheme="majorEastAsia" w:eastAsiaTheme="majorEastAsia"/>
          <w:sz w:val="24"/>
        </w:rPr>
        <w:t>进行项目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的</w:t>
      </w:r>
      <w:r>
        <w:rPr>
          <w:rFonts w:hint="eastAsia" w:asciiTheme="majorEastAsia" w:hAnsiTheme="majorEastAsia" w:eastAsiaTheme="majorEastAsia"/>
          <w:sz w:val="24"/>
        </w:rPr>
        <w:t>申报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操作</w:t>
      </w:r>
      <w:r>
        <w:rPr>
          <w:rFonts w:hint="eastAsia" w:asciiTheme="majorEastAsia" w:hAnsiTheme="majorEastAsia" w:eastAsiaTheme="majorEastAsia"/>
          <w:sz w:val="24"/>
        </w:rPr>
        <w:t>。</w:t>
      </w:r>
    </w:p>
    <w:p>
      <w:pPr>
        <w:jc w:val="left"/>
      </w:pPr>
      <w:r>
        <w:drawing>
          <wp:inline distT="0" distB="0" distL="114300" distR="114300">
            <wp:extent cx="5266690" cy="2962910"/>
            <wp:effectExtent l="0" t="0" r="635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整体流程如下图:</w:t>
      </w:r>
    </w:p>
    <w:p>
      <w:pPr>
        <w:ind w:left="-1418" w:leftChars="-675"/>
        <w:jc w:val="left"/>
        <w:rPr>
          <w:rFonts w:hint="eastAsia" w:ascii="黑体" w:hAnsi="黑体" w:eastAsia="黑体" w:cs="黑体"/>
          <w:sz w:val="20"/>
          <w:szCs w:val="22"/>
        </w:rPr>
      </w:pPr>
      <w:r>
        <w:rPr>
          <w:rFonts w:asciiTheme="minorEastAsia" w:hAnsiTheme="minorEastAsia" w:cstheme="minorEastAsia"/>
          <w:sz w:val="24"/>
        </w:rPr>
        <w:object>
          <v:shape id="_x0000_i1025" o:spt="75" type="#_x0000_t75" style="height:263.3pt;width:537.8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xcel.Sheet.8" ShapeID="_x0000_i1025" DrawAspect="Content" ObjectID="_1468075725" r:id="rId10">
            <o:LockedField>false</o:LockedField>
          </o:OLEObject>
        </w:object>
      </w:r>
    </w:p>
    <w:p>
      <w:pPr>
        <w:pStyle w:val="2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项目申报及审核</w:t>
      </w:r>
    </w:p>
    <w:p>
      <w:pPr>
        <w:pStyle w:val="3"/>
      </w:pPr>
      <w:bookmarkStart w:id="9" w:name="_Toc55293604"/>
      <w:r>
        <w:rPr>
          <w:rFonts w:hint="eastAsia"/>
        </w:rPr>
        <w:t>专项资金目录授权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</w:rPr>
        <w:t>用主管部门审核岗账号登录系统选择需要授权的专项资金目录，点击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</w:rPr>
        <w:t>授权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，选择需要授权的预算单位进行专项资金项目</w:t>
      </w:r>
      <w:r>
        <w:rPr>
          <w:rFonts w:hint="eastAsia"/>
          <w:sz w:val="24"/>
          <w:szCs w:val="24"/>
          <w:lang w:val="en-US" w:eastAsia="zh-CN"/>
        </w:rPr>
        <w:t>的</w:t>
      </w:r>
      <w:r>
        <w:rPr>
          <w:rFonts w:hint="eastAsia"/>
          <w:sz w:val="24"/>
          <w:szCs w:val="24"/>
        </w:rPr>
        <w:t>授权。</w:t>
      </w:r>
    </w:p>
    <w:p>
      <w:pPr/>
      <w:r>
        <w:rPr>
          <w:rFonts w:hint="eastAsia"/>
        </w:rPr>
        <w:drawing>
          <wp:inline distT="0" distB="0" distL="114300" distR="114300">
            <wp:extent cx="5830570" cy="2950210"/>
            <wp:effectExtent l="0" t="0" r="17780" b="2540"/>
            <wp:docPr id="6" name="图片 6" descr="0f921143999f525b14cbe95b009b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f921143999f525b14cbe95b009b1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/>
        </w:rPr>
        <w:drawing>
          <wp:inline distT="0" distB="0" distL="114300" distR="114300">
            <wp:extent cx="5263515" cy="2583815"/>
            <wp:effectExtent l="0" t="0" r="9525" b="6985"/>
            <wp:docPr id="20" name="图片 20" descr="8e638f5640a3fd9e3434d3bb269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e638f5640a3fd9e3434d3bb26935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pStyle w:val="3"/>
      </w:pPr>
      <w:bookmarkStart w:id="10" w:name="_Toc55293605"/>
      <w:r>
        <w:rPr>
          <w:rFonts w:hint="eastAsia"/>
        </w:rPr>
        <w:t>项目申报</w:t>
      </w:r>
      <w:bookmarkEnd w:id="10"/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用预算单位经办岗登录系统后选择需要申报的专项资金，然后根据要求申报项目，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查看</w:t>
      </w:r>
      <w:r>
        <w:rPr>
          <w:rFonts w:hint="eastAsia" w:asciiTheme="minorEastAsia" w:hAnsiTheme="minorEastAsia" w:cstheme="minorEastAsia"/>
          <w:sz w:val="24"/>
        </w:rPr>
        <w:t>专项资金参考指南</w:t>
      </w:r>
      <w:r>
        <w:rPr>
          <w:rFonts w:hint="eastAsia" w:asciiTheme="minorEastAsia" w:hAnsi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进行</w:t>
      </w:r>
      <w:r>
        <w:rPr>
          <w:rFonts w:hint="eastAsia" w:asciiTheme="minorEastAsia" w:hAnsiTheme="minorEastAsia" w:cstheme="minorEastAsia"/>
          <w:sz w:val="24"/>
        </w:rPr>
        <w:t>项目基本信息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分年度支出计划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项目绩效信息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项目附件信息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的填写</w:t>
      </w:r>
      <w:r>
        <w:rPr>
          <w:rFonts w:hint="eastAsia" w:asciiTheme="minorEastAsia" w:hAnsiTheme="minorEastAsia" w:cstheme="minorEastAsia"/>
          <w:sz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登录进入系统后的展示界面，可以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进行项目的</w:t>
      </w:r>
      <w:r>
        <w:rPr>
          <w:rFonts w:hint="eastAsia" w:asciiTheme="minorEastAsia" w:hAnsiTheme="minorEastAsia" w:cstheme="minorEastAsia"/>
          <w:sz w:val="24"/>
        </w:rPr>
        <w:t>新增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修改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或</w:t>
      </w:r>
      <w:r>
        <w:rPr>
          <w:rFonts w:hint="eastAsia" w:asciiTheme="minorEastAsia" w:hAnsiTheme="minorEastAsia" w:cstheme="minorEastAsia"/>
          <w:sz w:val="24"/>
        </w:rPr>
        <w:t>删除，申报完成后点击上报。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具体如下：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559425" cy="2622550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点击新增-选择需要申报的专项资金目录。</w:t>
      </w:r>
    </w:p>
    <w:p>
      <w:pPr>
        <w:spacing w:line="360" w:lineRule="auto"/>
        <w:ind w:firstLine="420" w:firstLineChars="2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800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选择完成后，根据要求填写项目基本信息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分年度支出计划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项目绩效信息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项目附件信息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以及</w:t>
      </w:r>
      <w:r>
        <w:rPr>
          <w:rFonts w:hint="eastAsia" w:asciiTheme="minorEastAsia" w:hAnsiTheme="minorEastAsia" w:cstheme="minorEastAsia"/>
          <w:sz w:val="24"/>
        </w:rPr>
        <w:t>下载查看专项资金指南。</w:t>
      </w:r>
      <w:bookmarkStart w:id="12" w:name="_GoBack"/>
      <w:r>
        <w:rPr>
          <w:rFonts w:hint="eastAsia" w:asciiTheme="minorEastAsia" w:hAnsiTheme="minorEastAsia" w:cstheme="minorEastAsia"/>
          <w:sz w:val="24"/>
          <w:lang w:val="en-US" w:eastAsia="zh-CN"/>
        </w:rPr>
        <w:t>具体如下：</w:t>
      </w:r>
      <w:bookmarkEnd w:id="12"/>
    </w:p>
    <w:p>
      <w:pPr>
        <w:spacing w:line="360" w:lineRule="auto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</w:rPr>
        <w:t>项目基本信息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根据要求填写项目的基础信息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依据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概述等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0275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分年度支出计划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填写该项目需要的资金情况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2186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sz w:val="24"/>
        </w:rPr>
        <w:t>项目绩效信息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根据项目实际情况填写申报项目的绩效目标信息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083810" cy="2599055"/>
            <wp:effectExtent l="0" t="0" r="6350" b="698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4946" r="5135" b="5445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项目附件信息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根据项目实际情况上传相关的附件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2498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专项资金指南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可以下载查看专项资金的申报指南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679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项目申报完成后点击上报</w:t>
      </w:r>
      <w:r>
        <w:rPr>
          <w:rFonts w:hint="eastAsia" w:asciiTheme="minorEastAsia" w:hAnsi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</w:rPr>
        <w:t>上报给财政进行项目审核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076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</w:p>
    <w:p>
      <w:pPr>
        <w:pStyle w:val="3"/>
      </w:pPr>
      <w:bookmarkStart w:id="11" w:name="_Toc55293606"/>
      <w:r>
        <w:rPr>
          <w:rFonts w:hint="eastAsia"/>
        </w:rPr>
        <w:t>项目审核</w:t>
      </w:r>
      <w:bookmarkEnd w:id="11"/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 w:asciiTheme="minorEastAsia" w:hAnsiTheme="minorEastAsia" w:cstheme="minorEastAsia"/>
          <w:sz w:val="24"/>
        </w:rPr>
        <w:t>项目申报完成后，点击上报，对应资金的主管部门会在项目审核菜单中看到进行审核。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022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审核界面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11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主管部门会根据预算单位填写的项目内容进行审核，通过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或者</w:t>
      </w:r>
      <w:r>
        <w:rPr>
          <w:rFonts w:hint="eastAsia" w:asciiTheme="minorEastAsia" w:hAnsiTheme="minorEastAsia" w:cstheme="minorEastAsia"/>
          <w:sz w:val="24"/>
        </w:rPr>
        <w:t>退回。</w:t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注意：审核通过后会送审到相关业务处室，绩效处，评审中心审核，入库归档。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073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1558" w:leftChars="-742"/>
        <w:jc w:val="left"/>
        <w:rPr>
          <w:rFonts w:asciiTheme="minorEastAsia" w:hAnsiTheme="minorEastAsia" w:cstheme="minorEastAsia"/>
          <w:sz w:val="24"/>
        </w:rPr>
      </w:pPr>
    </w:p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modern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E4002EFF" w:usb1="C000247B" w:usb2="00000009" w:usb3="00000000" w:csb0="200001F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decorative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7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Theme="minorEastAsia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7"/>
      <w:rPr>
        <w:rFonts w:hint="eastAsia" w:eastAsiaTheme="minorEastAsia"/>
        <w:sz w:val="15"/>
        <w:lang w:val="en-US" w:eastAsia="zh-CN"/>
      </w:rPr>
    </w:pPr>
    <w:r>
      <w:rPr>
        <w:sz w:val="15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Theme="minorEastAsia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rPr>
        <w:rFonts w:hint="eastAsia"/>
        <w:sz w:val="15"/>
        <w:lang w:val="en-US" w:eastAsia="zh-CN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7"/>
    </w:pPr>
    <w:r>
      <w:rPr>
        <w:sz w:val="18"/>
      </w:rPr>
      <w:pict>
        <v:shape id="_x0000_s4099" o:spid="_x0000_s4099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Theme="minorEastAsia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3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  <w:pBdr>
        <w:bottom w:val="single" w:color="auto" w:sz="4" w:space="1"/>
      </w:pBdr>
      <w:rPr>
        <w:sz w:val="15"/>
      </w:rPr>
    </w:pPr>
    <w:r>
      <w:drawing>
        <wp:inline distT="0" distB="0" distL="0" distR="0">
          <wp:extent cx="1165860" cy="335280"/>
          <wp:effectExtent l="0" t="0" r="0" b="762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5961" cy="335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</w:pPr>
  </w:p>
  <w:p>
    <w:pPr>
      <w:pStyle w:val="8"/>
      <w:pBdr>
        <w:bottom w:val="single" w:color="auto" w:sz="4" w:space="1"/>
      </w:pBdr>
      <w:rPr>
        <w:sz w:val="15"/>
      </w:rPr>
    </w:pPr>
    <w:r>
      <w:drawing>
        <wp:inline distT="0" distB="0" distL="0" distR="0">
          <wp:extent cx="1165860" cy="335280"/>
          <wp:effectExtent l="0" t="0" r="0" b="762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5961" cy="335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71427614">
    <w:nsid w:val="639FF61E"/>
    <w:multiLevelType w:val="multilevel"/>
    <w:tmpl w:val="639FF61E"/>
    <w:lvl w:ilvl="0" w:tentative="1">
      <w:start w:val="1"/>
      <w:numFmt w:val="chineseCounting"/>
      <w:pStyle w:val="2"/>
      <w:suff w:val="nothing"/>
      <w:lvlText w:val="第%1章 "/>
      <w:lvlJc w:val="left"/>
      <w:pPr>
        <w:ind w:left="7094" w:hanging="432"/>
      </w:pPr>
      <w:rPr>
        <w:rFonts w:hint="eastAsia"/>
      </w:rPr>
    </w:lvl>
    <w:lvl w:ilvl="1" w:tentative="1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1">
      <w:start w:val="1"/>
      <w:numFmt w:val="decimal"/>
      <w:pStyle w:val="4"/>
      <w:isLgl/>
      <w:lvlText w:val="%1.%2.%3."/>
      <w:lvlJc w:val="left"/>
      <w:pPr>
        <w:ind w:left="32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1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1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1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1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1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1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6714276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DF822F3"/>
    <w:rsid w:val="00001924"/>
    <w:rsid w:val="000346C1"/>
    <w:rsid w:val="00064243"/>
    <w:rsid w:val="00096E0A"/>
    <w:rsid w:val="000D6356"/>
    <w:rsid w:val="000F5404"/>
    <w:rsid w:val="00112EE2"/>
    <w:rsid w:val="00160502"/>
    <w:rsid w:val="00223E6F"/>
    <w:rsid w:val="00226CDB"/>
    <w:rsid w:val="00254A09"/>
    <w:rsid w:val="00260641"/>
    <w:rsid w:val="002756AA"/>
    <w:rsid w:val="00326B5B"/>
    <w:rsid w:val="00354669"/>
    <w:rsid w:val="00366EF1"/>
    <w:rsid w:val="003A7358"/>
    <w:rsid w:val="003D137C"/>
    <w:rsid w:val="00470C55"/>
    <w:rsid w:val="004B3834"/>
    <w:rsid w:val="004D28E2"/>
    <w:rsid w:val="004D6E67"/>
    <w:rsid w:val="004E2D55"/>
    <w:rsid w:val="004F289D"/>
    <w:rsid w:val="004F4B64"/>
    <w:rsid w:val="00515FF2"/>
    <w:rsid w:val="00530305"/>
    <w:rsid w:val="005313EC"/>
    <w:rsid w:val="00536F16"/>
    <w:rsid w:val="005401E2"/>
    <w:rsid w:val="005D3320"/>
    <w:rsid w:val="006146A8"/>
    <w:rsid w:val="006326D7"/>
    <w:rsid w:val="00642D97"/>
    <w:rsid w:val="00664CDA"/>
    <w:rsid w:val="00681739"/>
    <w:rsid w:val="006845C9"/>
    <w:rsid w:val="007116B4"/>
    <w:rsid w:val="00742B1F"/>
    <w:rsid w:val="00783AEE"/>
    <w:rsid w:val="007B0C2D"/>
    <w:rsid w:val="008C01F0"/>
    <w:rsid w:val="008C2158"/>
    <w:rsid w:val="00910A9B"/>
    <w:rsid w:val="009451B6"/>
    <w:rsid w:val="00A23F32"/>
    <w:rsid w:val="00A264DD"/>
    <w:rsid w:val="00A74CF0"/>
    <w:rsid w:val="00AA3985"/>
    <w:rsid w:val="00AA68C4"/>
    <w:rsid w:val="00AB5521"/>
    <w:rsid w:val="00B50697"/>
    <w:rsid w:val="00B70767"/>
    <w:rsid w:val="00B851D2"/>
    <w:rsid w:val="00BC3304"/>
    <w:rsid w:val="00C3022C"/>
    <w:rsid w:val="00C366D1"/>
    <w:rsid w:val="00C425E3"/>
    <w:rsid w:val="00C60DCA"/>
    <w:rsid w:val="00CD1CAD"/>
    <w:rsid w:val="00CD4CBB"/>
    <w:rsid w:val="00CD6427"/>
    <w:rsid w:val="00D3708E"/>
    <w:rsid w:val="00D87C04"/>
    <w:rsid w:val="00DD19A3"/>
    <w:rsid w:val="00DF5B06"/>
    <w:rsid w:val="00DF73D3"/>
    <w:rsid w:val="00EC4BA2"/>
    <w:rsid w:val="00EC64FA"/>
    <w:rsid w:val="00F06409"/>
    <w:rsid w:val="00F25990"/>
    <w:rsid w:val="00F31770"/>
    <w:rsid w:val="00F31FD8"/>
    <w:rsid w:val="00F825CB"/>
    <w:rsid w:val="00FB05D1"/>
    <w:rsid w:val="00FB5FDC"/>
    <w:rsid w:val="00FF1A47"/>
    <w:rsid w:val="01BF76B3"/>
    <w:rsid w:val="0357668A"/>
    <w:rsid w:val="03741C35"/>
    <w:rsid w:val="07F21A84"/>
    <w:rsid w:val="08B07174"/>
    <w:rsid w:val="09AC48CD"/>
    <w:rsid w:val="0A214B75"/>
    <w:rsid w:val="0A531873"/>
    <w:rsid w:val="0F3A23BD"/>
    <w:rsid w:val="13176561"/>
    <w:rsid w:val="140B0607"/>
    <w:rsid w:val="18BA3C1F"/>
    <w:rsid w:val="19B64FF6"/>
    <w:rsid w:val="1A2D0B30"/>
    <w:rsid w:val="1A697385"/>
    <w:rsid w:val="1AB25F58"/>
    <w:rsid w:val="1B0D0BF0"/>
    <w:rsid w:val="1C054FEF"/>
    <w:rsid w:val="1CB37513"/>
    <w:rsid w:val="1E3168CA"/>
    <w:rsid w:val="27AF7A78"/>
    <w:rsid w:val="28295F04"/>
    <w:rsid w:val="28AD7D7A"/>
    <w:rsid w:val="2B55702E"/>
    <w:rsid w:val="2D1C1D90"/>
    <w:rsid w:val="2ECA792E"/>
    <w:rsid w:val="2F720124"/>
    <w:rsid w:val="2FB01521"/>
    <w:rsid w:val="3743715B"/>
    <w:rsid w:val="3840451B"/>
    <w:rsid w:val="39207A23"/>
    <w:rsid w:val="3B250DCA"/>
    <w:rsid w:val="3DF822F3"/>
    <w:rsid w:val="4142740B"/>
    <w:rsid w:val="47AF234F"/>
    <w:rsid w:val="4841110C"/>
    <w:rsid w:val="4C190265"/>
    <w:rsid w:val="4E202BB9"/>
    <w:rsid w:val="4EE958BE"/>
    <w:rsid w:val="50552B58"/>
    <w:rsid w:val="532E472B"/>
    <w:rsid w:val="53645D5E"/>
    <w:rsid w:val="59647D88"/>
    <w:rsid w:val="5B367A41"/>
    <w:rsid w:val="5B656635"/>
    <w:rsid w:val="5C977EA7"/>
    <w:rsid w:val="61253374"/>
    <w:rsid w:val="64222EF0"/>
    <w:rsid w:val="65776137"/>
    <w:rsid w:val="66F84A95"/>
    <w:rsid w:val="67B52975"/>
    <w:rsid w:val="68D519B4"/>
    <w:rsid w:val="699A3206"/>
    <w:rsid w:val="6BF23256"/>
    <w:rsid w:val="6D986E72"/>
    <w:rsid w:val="6DD85044"/>
    <w:rsid w:val="6F436E7A"/>
    <w:rsid w:val="70A4425D"/>
    <w:rsid w:val="72874A87"/>
    <w:rsid w:val="72BD1521"/>
    <w:rsid w:val="744978D7"/>
    <w:rsid w:val="76C12D3D"/>
    <w:rsid w:val="77E71047"/>
    <w:rsid w:val="787A6507"/>
    <w:rsid w:val="798604A5"/>
    <w:rsid w:val="79DF4D71"/>
    <w:rsid w:val="7AB87F33"/>
    <w:rsid w:val="7B7A2FA7"/>
    <w:rsid w:val="7C69011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ind w:left="0" w:firstLine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outlineLvl w:val="2"/>
    </w:pPr>
    <w:rPr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Balloon Text"/>
    <w:basedOn w:val="1"/>
    <w:link w:val="27"/>
    <w:qFormat/>
    <w:uiPriority w:val="0"/>
    <w:rPr>
      <w:sz w:val="18"/>
      <w:szCs w:val="18"/>
    </w:rPr>
  </w:style>
  <w:style w:type="paragraph" w:styleId="7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2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</w:rPr>
  </w:style>
  <w:style w:type="table" w:styleId="15">
    <w:name w:val="Table Grid"/>
    <w:basedOn w:val="14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文件修订页"/>
    <w:basedOn w:val="1"/>
    <w:qFormat/>
    <w:uiPriority w:val="0"/>
    <w:pPr>
      <w:autoSpaceDE w:val="0"/>
      <w:autoSpaceDN w:val="0"/>
      <w:adjustRightInd w:val="0"/>
      <w:spacing w:line="312" w:lineRule="exact"/>
      <w:jc w:val="center"/>
    </w:pPr>
    <w:rPr>
      <w:rFonts w:ascii="华文细黑" w:hAnsi="华文细黑" w:eastAsia="华文细黑" w:cs="宋体"/>
      <w:b/>
      <w:bCs/>
      <w:kern w:val="0"/>
      <w:sz w:val="32"/>
      <w:szCs w:val="20"/>
    </w:rPr>
  </w:style>
  <w:style w:type="paragraph" w:customStyle="1" w:styleId="17">
    <w:name w:val="封面表单"/>
    <w:basedOn w:val="1"/>
    <w:qFormat/>
    <w:uiPriority w:val="0"/>
    <w:pPr>
      <w:autoSpaceDE w:val="0"/>
      <w:autoSpaceDN w:val="0"/>
      <w:adjustRightInd w:val="0"/>
      <w:spacing w:line="312" w:lineRule="exact"/>
      <w:jc w:val="left"/>
    </w:pPr>
    <w:rPr>
      <w:rFonts w:ascii="华文细黑" w:hAnsi="华文细黑" w:eastAsia="华文细黑" w:cs="宋体"/>
      <w:b/>
      <w:bCs/>
      <w:kern w:val="0"/>
      <w:sz w:val="24"/>
      <w:szCs w:val="20"/>
    </w:rPr>
  </w:style>
  <w:style w:type="paragraph" w:customStyle="1" w:styleId="18">
    <w:name w:val="修订页表单"/>
    <w:basedOn w:val="1"/>
    <w:qFormat/>
    <w:uiPriority w:val="0"/>
    <w:pPr>
      <w:autoSpaceDE w:val="0"/>
      <w:autoSpaceDN w:val="0"/>
      <w:adjustRightInd w:val="0"/>
      <w:spacing w:line="312" w:lineRule="exact"/>
      <w:jc w:val="center"/>
    </w:pPr>
    <w:rPr>
      <w:rFonts w:ascii="华文细黑" w:hAnsi="华文细黑" w:eastAsia="华文细黑" w:cs="宋体"/>
      <w:b/>
      <w:kern w:val="0"/>
      <w:sz w:val="24"/>
      <w:szCs w:val="20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2">
    <w:name w:val="List Paragraph"/>
    <w:basedOn w:val="1"/>
    <w:qFormat/>
    <w:uiPriority w:val="99"/>
    <w:pPr>
      <w:ind w:firstLine="420" w:firstLineChars="200"/>
    </w:pPr>
  </w:style>
  <w:style w:type="character" w:customStyle="1" w:styleId="23">
    <w:name w:val="页眉 Char"/>
    <w:basedOn w:val="12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5" w:themeColor="accent1" w:themeShade="BF"/>
      <w:kern w:val="0"/>
      <w:sz w:val="32"/>
      <w:szCs w:val="32"/>
    </w:rPr>
  </w:style>
  <w:style w:type="character" w:customStyle="1" w:styleId="25">
    <w:name w:val="页脚 Char"/>
    <w:basedOn w:val="12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6">
    <w:name w:val="Unresolved Mention"/>
    <w:basedOn w:val="12"/>
    <w:unhideWhenUsed/>
    <w:qFormat/>
    <w:uiPriority w:val="99"/>
    <w:rPr>
      <w:color w:val="605E5C"/>
      <w:shd w:val="clear" w:color="auto" w:fill="E1DFDD"/>
    </w:rPr>
  </w:style>
  <w:style w:type="character" w:customStyle="1" w:styleId="27">
    <w:name w:val="批注框文本 Char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 textRotate="1"/>
    <customShpInfo spid="_x0000_s4098" textRotate="1"/>
    <customShpInfo spid="_x0000_s4099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636F7A-826E-4A67-B46F-56C2436DF2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209</Words>
  <Characters>1194</Characters>
  <Lines>9</Lines>
  <Paragraphs>2</Paragraphs>
  <ScaleCrop>false</ScaleCrop>
  <LinksUpToDate>false</LinksUpToDate>
  <CharactersWithSpaces>1401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2019-08-10T02:55:00Z</dcterms:created>
  <dc:creator>Miss。</dc:creator>
  <cp:lastModifiedBy>shanght</cp:lastModifiedBy>
  <dcterms:modified xsi:type="dcterms:W3CDTF">2020-11-03T08:05:00Z</dcterms:modified>
  <cp:revision>170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